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3E" w:rsidRPr="00096DC6" w:rsidRDefault="002B2C3E" w:rsidP="00096DC6">
      <w:pPr>
        <w:tabs>
          <w:tab w:val="left" w:pos="6030"/>
        </w:tabs>
        <w:spacing w:after="0" w:line="240" w:lineRule="auto"/>
        <w:jc w:val="center"/>
        <w:rPr>
          <w:rFonts w:ascii="Arial" w:hAnsi="Arial" w:cs="Arial"/>
          <w:b/>
          <w:u w:val="single"/>
        </w:rPr>
      </w:pPr>
      <w:r w:rsidRPr="002B2C3E">
        <w:rPr>
          <w:rFonts w:ascii="Arial" w:hAnsi="Arial" w:cs="Arial"/>
          <w:b/>
          <w:u w:val="single"/>
        </w:rPr>
        <w:t xml:space="preserve">Continuing </w:t>
      </w:r>
      <w:r w:rsidRPr="00096DC6">
        <w:rPr>
          <w:rFonts w:ascii="Arial" w:hAnsi="Arial" w:cs="Arial"/>
          <w:b/>
          <w:u w:val="single"/>
        </w:rPr>
        <w:t>Healthcare</w:t>
      </w:r>
      <w:r w:rsidR="00E02388" w:rsidRPr="00096DC6">
        <w:rPr>
          <w:rFonts w:ascii="Arial" w:hAnsi="Arial" w:cs="Arial"/>
          <w:b/>
          <w:u w:val="single"/>
        </w:rPr>
        <w:t xml:space="preserve"> (CHC)</w:t>
      </w:r>
      <w:r w:rsidR="00096DC6" w:rsidRPr="00096DC6">
        <w:rPr>
          <w:rFonts w:ascii="Arial" w:hAnsi="Arial" w:cs="Arial"/>
          <w:b/>
          <w:u w:val="single"/>
        </w:rPr>
        <w:t xml:space="preserve"> - </w:t>
      </w:r>
      <w:r w:rsidRPr="00096DC6">
        <w:rPr>
          <w:rFonts w:ascii="Arial" w:hAnsi="Arial" w:cs="Arial"/>
          <w:b/>
          <w:u w:val="single"/>
        </w:rPr>
        <w:t>Question and Answer Information Sheet</w:t>
      </w:r>
    </w:p>
    <w:p w:rsidR="008737E2" w:rsidRDefault="008737E2" w:rsidP="0044668F">
      <w:pPr>
        <w:tabs>
          <w:tab w:val="left" w:pos="6030"/>
        </w:tabs>
        <w:spacing w:after="0" w:line="240" w:lineRule="auto"/>
        <w:jc w:val="center"/>
        <w:rPr>
          <w:rFonts w:ascii="Arial" w:hAnsi="Arial" w:cs="Arial"/>
        </w:rPr>
      </w:pPr>
    </w:p>
    <w:tbl>
      <w:tblPr>
        <w:tblW w:w="0" w:type="auto"/>
        <w:tblLook w:val="04A0"/>
      </w:tblPr>
      <w:tblGrid>
        <w:gridCol w:w="534"/>
        <w:gridCol w:w="567"/>
        <w:gridCol w:w="8141"/>
      </w:tblGrid>
      <w:tr w:rsidR="002B2C3E" w:rsidRPr="00AE57E4" w:rsidTr="00AE57E4">
        <w:tc>
          <w:tcPr>
            <w:tcW w:w="534"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1</w:t>
            </w: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Q</w:t>
            </w:r>
          </w:p>
        </w:tc>
        <w:tc>
          <w:tcPr>
            <w:tcW w:w="8141" w:type="dxa"/>
          </w:tcPr>
          <w:p w:rsidR="002B2C3E" w:rsidRPr="00AE57E4" w:rsidRDefault="002B2C3E" w:rsidP="00AE57E4">
            <w:pPr>
              <w:spacing w:after="0" w:line="240" w:lineRule="auto"/>
              <w:jc w:val="both"/>
              <w:rPr>
                <w:rFonts w:ascii="Arial" w:hAnsi="Arial" w:cs="Arial"/>
                <w:b/>
              </w:rPr>
            </w:pPr>
            <w:r w:rsidRPr="00AE57E4">
              <w:rPr>
                <w:rFonts w:ascii="Arial" w:hAnsi="Arial" w:cs="Arial"/>
                <w:b/>
              </w:rPr>
              <w:t>What is NHS Continuing Healthcare?</w:t>
            </w:r>
          </w:p>
          <w:p w:rsidR="009E0AB3" w:rsidRPr="00AE57E4" w:rsidRDefault="009E0AB3" w:rsidP="00AE57E4">
            <w:pPr>
              <w:spacing w:after="0" w:line="240" w:lineRule="auto"/>
              <w:jc w:val="both"/>
              <w:rPr>
                <w:rFonts w:ascii="Arial" w:hAnsi="Arial" w:cs="Arial"/>
                <w:b/>
              </w:rPr>
            </w:pPr>
          </w:p>
        </w:tc>
      </w:tr>
      <w:tr w:rsidR="002B2C3E" w:rsidRPr="00AE57E4" w:rsidTr="00AE57E4">
        <w:tc>
          <w:tcPr>
            <w:tcW w:w="534" w:type="dxa"/>
          </w:tcPr>
          <w:p w:rsidR="002B2C3E" w:rsidRPr="00AE57E4" w:rsidRDefault="002B2C3E" w:rsidP="00AE57E4">
            <w:pPr>
              <w:spacing w:after="0" w:line="240" w:lineRule="auto"/>
              <w:jc w:val="center"/>
              <w:rPr>
                <w:rFonts w:ascii="Arial" w:hAnsi="Arial" w:cs="Arial"/>
                <w:b/>
              </w:rPr>
            </w:pP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A</w:t>
            </w:r>
          </w:p>
        </w:tc>
        <w:tc>
          <w:tcPr>
            <w:tcW w:w="8141" w:type="dxa"/>
          </w:tcPr>
          <w:p w:rsidR="002B2C3E" w:rsidRPr="00AE57E4" w:rsidRDefault="003A3038" w:rsidP="00AE57E4">
            <w:pPr>
              <w:spacing w:after="0" w:line="240" w:lineRule="auto"/>
              <w:jc w:val="both"/>
              <w:rPr>
                <w:rFonts w:ascii="Arial" w:hAnsi="Arial" w:cs="Arial"/>
              </w:rPr>
            </w:pPr>
            <w:r w:rsidRPr="00AE57E4">
              <w:rPr>
                <w:rFonts w:ascii="Arial" w:hAnsi="Arial" w:cs="Arial"/>
              </w:rPr>
              <w:t xml:space="preserve">NHS Continuing Healthcare </w:t>
            </w:r>
            <w:r w:rsidR="00E02388" w:rsidRPr="00AE57E4">
              <w:rPr>
                <w:rFonts w:ascii="Arial" w:hAnsi="Arial" w:cs="Arial"/>
              </w:rPr>
              <w:t xml:space="preserve">(CHC) </w:t>
            </w:r>
            <w:r w:rsidR="00876558">
              <w:rPr>
                <w:rFonts w:ascii="Arial" w:hAnsi="Arial" w:cs="Arial"/>
              </w:rPr>
              <w:t>is provided to</w:t>
            </w:r>
            <w:r w:rsidR="009D6F15" w:rsidRPr="00AE57E4">
              <w:rPr>
                <w:rFonts w:ascii="Arial" w:hAnsi="Arial" w:cs="Arial"/>
              </w:rPr>
              <w:t xml:space="preserve"> </w:t>
            </w:r>
            <w:r w:rsidRPr="00AE57E4">
              <w:rPr>
                <w:rFonts w:ascii="Arial" w:hAnsi="Arial" w:cs="Arial"/>
              </w:rPr>
              <w:t>people</w:t>
            </w:r>
            <w:r w:rsidR="00876558">
              <w:rPr>
                <w:rFonts w:ascii="Arial" w:hAnsi="Arial" w:cs="Arial"/>
              </w:rPr>
              <w:t xml:space="preserve"> who</w:t>
            </w:r>
            <w:r w:rsidRPr="00AE57E4">
              <w:rPr>
                <w:rFonts w:ascii="Arial" w:hAnsi="Arial" w:cs="Arial"/>
              </w:rPr>
              <w:t xml:space="preserve"> </w:t>
            </w:r>
            <w:r w:rsidR="009D6F15" w:rsidRPr="00AE57E4">
              <w:rPr>
                <w:rFonts w:ascii="Arial" w:hAnsi="Arial" w:cs="Arial"/>
              </w:rPr>
              <w:t xml:space="preserve">have </w:t>
            </w:r>
            <w:r w:rsidR="00876558">
              <w:rPr>
                <w:rFonts w:ascii="Arial" w:hAnsi="Arial" w:cs="Arial"/>
              </w:rPr>
              <w:t>been deemed to have a primary need for healthcare in a nursing or specialist care home</w:t>
            </w:r>
            <w:r w:rsidRPr="00AE57E4">
              <w:rPr>
                <w:rFonts w:ascii="Arial" w:hAnsi="Arial" w:cs="Arial"/>
              </w:rPr>
              <w:t xml:space="preserve">. When a patient is </w:t>
            </w:r>
            <w:r w:rsidR="009D6F15" w:rsidRPr="00AE57E4">
              <w:rPr>
                <w:rFonts w:ascii="Arial" w:hAnsi="Arial" w:cs="Arial"/>
              </w:rPr>
              <w:t xml:space="preserve">assessed and </w:t>
            </w:r>
            <w:r w:rsidRPr="00AE57E4">
              <w:rPr>
                <w:rFonts w:ascii="Arial" w:hAnsi="Arial" w:cs="Arial"/>
              </w:rPr>
              <w:t>determined as eligible for Continuing Healthcare funding, a package o</w:t>
            </w:r>
            <w:r w:rsidR="009D6F15" w:rsidRPr="00AE57E4">
              <w:rPr>
                <w:rFonts w:ascii="Arial" w:hAnsi="Arial" w:cs="Arial"/>
              </w:rPr>
              <w:t>f care will be</w:t>
            </w:r>
            <w:r w:rsidR="006247A2">
              <w:rPr>
                <w:rFonts w:ascii="Arial" w:hAnsi="Arial" w:cs="Arial"/>
              </w:rPr>
              <w:t xml:space="preserve"> arranged for them to meet their</w:t>
            </w:r>
            <w:r w:rsidR="009D6F15" w:rsidRPr="00AE57E4">
              <w:rPr>
                <w:rFonts w:ascii="Arial" w:hAnsi="Arial" w:cs="Arial"/>
              </w:rPr>
              <w:t xml:space="preserve"> healthcare needs. This will be free of charge to the individual </w:t>
            </w:r>
            <w:r w:rsidR="00876558">
              <w:rPr>
                <w:rFonts w:ascii="Arial" w:hAnsi="Arial" w:cs="Arial"/>
              </w:rPr>
              <w:t xml:space="preserve">receiving </w:t>
            </w:r>
            <w:r w:rsidR="009D6F15" w:rsidRPr="00AE57E4">
              <w:rPr>
                <w:rFonts w:ascii="Arial" w:hAnsi="Arial" w:cs="Arial"/>
              </w:rPr>
              <w:t>care</w:t>
            </w:r>
            <w:r w:rsidR="00876558">
              <w:rPr>
                <w:rFonts w:ascii="Arial" w:hAnsi="Arial" w:cs="Arial"/>
              </w:rPr>
              <w:t xml:space="preserve"> for their health needs</w:t>
            </w:r>
            <w:r w:rsidR="009D6F15" w:rsidRPr="00AE57E4">
              <w:rPr>
                <w:rFonts w:ascii="Arial" w:hAnsi="Arial" w:cs="Arial"/>
              </w:rPr>
              <w:t xml:space="preserve">. </w:t>
            </w:r>
          </w:p>
          <w:p w:rsidR="009D6F15" w:rsidRPr="00AE57E4" w:rsidRDefault="009D6F15" w:rsidP="00AE57E4">
            <w:pPr>
              <w:spacing w:after="0" w:line="240" w:lineRule="auto"/>
              <w:jc w:val="both"/>
              <w:rPr>
                <w:rFonts w:ascii="Arial" w:hAnsi="Arial" w:cs="Arial"/>
              </w:rPr>
            </w:pPr>
          </w:p>
        </w:tc>
      </w:tr>
      <w:tr w:rsidR="002B2C3E" w:rsidRPr="00AE57E4" w:rsidTr="00AE57E4">
        <w:tc>
          <w:tcPr>
            <w:tcW w:w="534"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2</w:t>
            </w: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Q</w:t>
            </w:r>
          </w:p>
        </w:tc>
        <w:tc>
          <w:tcPr>
            <w:tcW w:w="8141" w:type="dxa"/>
          </w:tcPr>
          <w:p w:rsidR="002B2C3E" w:rsidRPr="00AE57E4" w:rsidRDefault="002B2C3E" w:rsidP="00AE57E4">
            <w:pPr>
              <w:spacing w:after="0" w:line="240" w:lineRule="auto"/>
              <w:jc w:val="both"/>
              <w:rPr>
                <w:rFonts w:ascii="Arial" w:hAnsi="Arial" w:cs="Arial"/>
                <w:b/>
              </w:rPr>
            </w:pPr>
            <w:r w:rsidRPr="00AE57E4">
              <w:rPr>
                <w:rFonts w:ascii="Arial" w:hAnsi="Arial" w:cs="Arial"/>
                <w:b/>
              </w:rPr>
              <w:t>Why have I been asked to have a Continuing Healthcare assessment?</w:t>
            </w:r>
          </w:p>
          <w:p w:rsidR="009E0AB3" w:rsidRPr="00AE57E4" w:rsidRDefault="009E0AB3" w:rsidP="00AE57E4">
            <w:pPr>
              <w:spacing w:after="0" w:line="240" w:lineRule="auto"/>
              <w:jc w:val="both"/>
              <w:rPr>
                <w:rFonts w:ascii="Arial" w:hAnsi="Arial" w:cs="Arial"/>
                <w:b/>
              </w:rPr>
            </w:pPr>
          </w:p>
        </w:tc>
      </w:tr>
      <w:tr w:rsidR="002B2C3E" w:rsidRPr="00AE57E4" w:rsidTr="00AE57E4">
        <w:tc>
          <w:tcPr>
            <w:tcW w:w="534" w:type="dxa"/>
          </w:tcPr>
          <w:p w:rsidR="002B2C3E" w:rsidRPr="00AE57E4" w:rsidRDefault="002B2C3E" w:rsidP="00AE57E4">
            <w:pPr>
              <w:spacing w:after="0" w:line="240" w:lineRule="auto"/>
              <w:jc w:val="center"/>
              <w:rPr>
                <w:rFonts w:ascii="Arial" w:hAnsi="Arial" w:cs="Arial"/>
                <w:b/>
              </w:rPr>
            </w:pP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A</w:t>
            </w:r>
          </w:p>
        </w:tc>
        <w:tc>
          <w:tcPr>
            <w:tcW w:w="8141" w:type="dxa"/>
          </w:tcPr>
          <w:p w:rsidR="002B2C3E" w:rsidRPr="00AE57E4" w:rsidRDefault="00E02388" w:rsidP="00AE57E4">
            <w:pPr>
              <w:spacing w:after="0" w:line="240" w:lineRule="auto"/>
              <w:jc w:val="both"/>
              <w:rPr>
                <w:rFonts w:ascii="Arial" w:hAnsi="Arial" w:cs="Arial"/>
              </w:rPr>
            </w:pPr>
            <w:r w:rsidRPr="00AE57E4">
              <w:rPr>
                <w:rFonts w:ascii="Arial" w:hAnsi="Arial" w:cs="Arial"/>
              </w:rPr>
              <w:t xml:space="preserve">The National Framework for Continuing Healthcare stipulates that any patient whose healthcare needs change so that they </w:t>
            </w:r>
            <w:r w:rsidR="009E0AB3" w:rsidRPr="00AE57E4">
              <w:rPr>
                <w:rFonts w:ascii="Arial" w:hAnsi="Arial" w:cs="Arial"/>
              </w:rPr>
              <w:t xml:space="preserve">now </w:t>
            </w:r>
            <w:r w:rsidRPr="00AE57E4">
              <w:rPr>
                <w:rFonts w:ascii="Arial" w:hAnsi="Arial" w:cs="Arial"/>
              </w:rPr>
              <w:t xml:space="preserve">require nursing support should be screened to see if they may be eligible for Continuing Healthcare funding. </w:t>
            </w:r>
          </w:p>
          <w:p w:rsidR="00E02388" w:rsidRPr="00AE57E4" w:rsidRDefault="00E02388" w:rsidP="00AE57E4">
            <w:pPr>
              <w:spacing w:after="0" w:line="240" w:lineRule="auto"/>
              <w:jc w:val="both"/>
              <w:rPr>
                <w:rFonts w:ascii="Arial" w:hAnsi="Arial" w:cs="Arial"/>
              </w:rPr>
            </w:pPr>
          </w:p>
          <w:p w:rsidR="00E02388" w:rsidRPr="00AE57E4" w:rsidRDefault="00E02388" w:rsidP="00AE57E4">
            <w:pPr>
              <w:spacing w:after="0" w:line="240" w:lineRule="auto"/>
              <w:jc w:val="both"/>
              <w:rPr>
                <w:rFonts w:ascii="Arial" w:hAnsi="Arial" w:cs="Arial"/>
              </w:rPr>
            </w:pPr>
            <w:r w:rsidRPr="00AE57E4">
              <w:rPr>
                <w:rFonts w:ascii="Arial" w:hAnsi="Arial" w:cs="Arial"/>
              </w:rPr>
              <w:t xml:space="preserve">A ‘Screening Checklist’ will be completed for each of these patients. If the checklist is positive, then the patient will be offered a ‘full’ Continuing Healthcare assessment to determine whether they are eligible for funding. </w:t>
            </w:r>
          </w:p>
          <w:p w:rsidR="00E02388" w:rsidRPr="00AE57E4" w:rsidRDefault="00E02388" w:rsidP="00AE57E4">
            <w:pPr>
              <w:spacing w:after="0" w:line="240" w:lineRule="auto"/>
              <w:jc w:val="both"/>
              <w:rPr>
                <w:rFonts w:ascii="Arial" w:hAnsi="Arial" w:cs="Arial"/>
              </w:rPr>
            </w:pPr>
          </w:p>
        </w:tc>
      </w:tr>
      <w:tr w:rsidR="002B2C3E" w:rsidRPr="00AE57E4" w:rsidTr="00AE57E4">
        <w:tc>
          <w:tcPr>
            <w:tcW w:w="534"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3</w:t>
            </w: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Q</w:t>
            </w:r>
          </w:p>
        </w:tc>
        <w:tc>
          <w:tcPr>
            <w:tcW w:w="8141" w:type="dxa"/>
          </w:tcPr>
          <w:p w:rsidR="002B2C3E" w:rsidRPr="00AE57E4" w:rsidRDefault="009E0AB3" w:rsidP="00AE57E4">
            <w:pPr>
              <w:spacing w:after="0" w:line="240" w:lineRule="auto"/>
              <w:jc w:val="both"/>
              <w:rPr>
                <w:rFonts w:ascii="Arial" w:hAnsi="Arial" w:cs="Arial"/>
                <w:b/>
              </w:rPr>
            </w:pPr>
            <w:r w:rsidRPr="00AE57E4">
              <w:rPr>
                <w:rFonts w:ascii="Arial" w:hAnsi="Arial" w:cs="Arial"/>
                <w:b/>
              </w:rPr>
              <w:t>What does the full Continuing Healthcare assessment involve?</w:t>
            </w:r>
          </w:p>
          <w:p w:rsidR="009E0AB3" w:rsidRPr="00AE57E4" w:rsidRDefault="009E0AB3" w:rsidP="00AE57E4">
            <w:pPr>
              <w:spacing w:after="0" w:line="240" w:lineRule="auto"/>
              <w:jc w:val="both"/>
              <w:rPr>
                <w:rFonts w:ascii="Arial" w:hAnsi="Arial" w:cs="Arial"/>
                <w:b/>
              </w:rPr>
            </w:pPr>
          </w:p>
        </w:tc>
      </w:tr>
      <w:tr w:rsidR="002B2C3E" w:rsidRPr="00AE57E4" w:rsidTr="00AE57E4">
        <w:tc>
          <w:tcPr>
            <w:tcW w:w="534" w:type="dxa"/>
          </w:tcPr>
          <w:p w:rsidR="002B2C3E" w:rsidRPr="00AE57E4" w:rsidRDefault="002B2C3E" w:rsidP="00AE57E4">
            <w:pPr>
              <w:spacing w:after="0" w:line="240" w:lineRule="auto"/>
              <w:jc w:val="center"/>
              <w:rPr>
                <w:rFonts w:ascii="Arial" w:hAnsi="Arial" w:cs="Arial"/>
                <w:b/>
              </w:rPr>
            </w:pP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A</w:t>
            </w:r>
          </w:p>
        </w:tc>
        <w:tc>
          <w:tcPr>
            <w:tcW w:w="8141" w:type="dxa"/>
          </w:tcPr>
          <w:p w:rsidR="002168AD" w:rsidRPr="00AE57E4" w:rsidRDefault="009E0AB3" w:rsidP="00AE57E4">
            <w:pPr>
              <w:spacing w:after="0" w:line="240" w:lineRule="auto"/>
              <w:jc w:val="both"/>
              <w:rPr>
                <w:rFonts w:ascii="Arial" w:hAnsi="Arial" w:cs="Arial"/>
              </w:rPr>
            </w:pPr>
            <w:r w:rsidRPr="00AE57E4">
              <w:rPr>
                <w:rFonts w:ascii="Arial" w:hAnsi="Arial" w:cs="Arial"/>
              </w:rPr>
              <w:t>A member of the Continuing Healthcare team will undertake a comprehen</w:t>
            </w:r>
            <w:r w:rsidR="002168AD" w:rsidRPr="00AE57E4">
              <w:rPr>
                <w:rFonts w:ascii="Arial" w:hAnsi="Arial" w:cs="Arial"/>
              </w:rPr>
              <w:t>sive assessment on behalf of NH</w:t>
            </w:r>
            <w:r w:rsidRPr="00AE57E4">
              <w:rPr>
                <w:rFonts w:ascii="Arial" w:hAnsi="Arial" w:cs="Arial"/>
              </w:rPr>
              <w:t xml:space="preserve">S Warwickshire. This will involve collecting information from healthcare professionals and the Local Authority, as well as any other </w:t>
            </w:r>
            <w:r w:rsidR="002168AD" w:rsidRPr="00AE57E4">
              <w:rPr>
                <w:rFonts w:ascii="Arial" w:hAnsi="Arial" w:cs="Arial"/>
              </w:rPr>
              <w:t>representatives involved in the patient’s</w:t>
            </w:r>
            <w:r w:rsidRPr="00AE57E4">
              <w:rPr>
                <w:rFonts w:ascii="Arial" w:hAnsi="Arial" w:cs="Arial"/>
              </w:rPr>
              <w:t xml:space="preserve"> care</w:t>
            </w:r>
            <w:r w:rsidR="002168AD" w:rsidRPr="00AE57E4">
              <w:rPr>
                <w:rFonts w:ascii="Arial" w:hAnsi="Arial" w:cs="Arial"/>
              </w:rPr>
              <w:t xml:space="preserve">. The assessor will take into consideration all aspects of their health and wellbeing, including physical, mental and psychology needs. </w:t>
            </w:r>
          </w:p>
          <w:p w:rsidR="002168AD" w:rsidRPr="00AE57E4" w:rsidRDefault="002168AD" w:rsidP="00AE57E4">
            <w:pPr>
              <w:spacing w:after="0" w:line="240" w:lineRule="auto"/>
              <w:jc w:val="both"/>
              <w:rPr>
                <w:rFonts w:ascii="Arial" w:hAnsi="Arial" w:cs="Arial"/>
              </w:rPr>
            </w:pPr>
          </w:p>
          <w:p w:rsidR="002168AD" w:rsidRPr="00AE57E4" w:rsidRDefault="002168AD" w:rsidP="00AE57E4">
            <w:pPr>
              <w:spacing w:after="0" w:line="240" w:lineRule="auto"/>
              <w:jc w:val="both"/>
              <w:rPr>
                <w:rFonts w:ascii="Arial" w:hAnsi="Arial" w:cs="Arial"/>
              </w:rPr>
            </w:pPr>
            <w:r w:rsidRPr="00AE57E4">
              <w:rPr>
                <w:rFonts w:ascii="Arial" w:hAnsi="Arial" w:cs="Arial"/>
              </w:rPr>
              <w:t xml:space="preserve">The patient will be asked to give consent for this assessment to take place, and is welcome to have any relatives/representatives present during it. If the patient being assessed is lacking mental capacity, a ‘Best Interest’ decision will need to be made (please refer to the Mental Capacity Act). </w:t>
            </w:r>
          </w:p>
          <w:p w:rsidR="009E0AB3" w:rsidRPr="00AE57E4" w:rsidRDefault="009E0AB3" w:rsidP="00AE57E4">
            <w:pPr>
              <w:spacing w:after="0" w:line="240" w:lineRule="auto"/>
              <w:jc w:val="both"/>
              <w:rPr>
                <w:rFonts w:ascii="Arial" w:hAnsi="Arial" w:cs="Arial"/>
                <w:b/>
              </w:rPr>
            </w:pPr>
          </w:p>
        </w:tc>
      </w:tr>
      <w:tr w:rsidR="002B2C3E" w:rsidRPr="00AE57E4" w:rsidTr="00AE57E4">
        <w:tc>
          <w:tcPr>
            <w:tcW w:w="534"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4</w:t>
            </w: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Q</w:t>
            </w:r>
          </w:p>
        </w:tc>
        <w:tc>
          <w:tcPr>
            <w:tcW w:w="8141" w:type="dxa"/>
          </w:tcPr>
          <w:p w:rsidR="002B2C3E" w:rsidRPr="00AE57E4" w:rsidRDefault="002B2C3E" w:rsidP="00AE57E4">
            <w:pPr>
              <w:spacing w:after="0" w:line="240" w:lineRule="auto"/>
              <w:jc w:val="both"/>
              <w:rPr>
                <w:rFonts w:ascii="Arial" w:hAnsi="Arial" w:cs="Arial"/>
                <w:b/>
              </w:rPr>
            </w:pPr>
            <w:r w:rsidRPr="00AE57E4">
              <w:rPr>
                <w:rFonts w:ascii="Arial" w:hAnsi="Arial" w:cs="Arial"/>
                <w:b/>
              </w:rPr>
              <w:t>What is a Decision Support Tool?</w:t>
            </w:r>
          </w:p>
          <w:p w:rsidR="002168AD" w:rsidRPr="00AE57E4" w:rsidRDefault="002168AD" w:rsidP="00AE57E4">
            <w:pPr>
              <w:spacing w:after="0" w:line="240" w:lineRule="auto"/>
              <w:jc w:val="both"/>
              <w:rPr>
                <w:rFonts w:ascii="Arial" w:hAnsi="Arial" w:cs="Arial"/>
                <w:b/>
              </w:rPr>
            </w:pPr>
          </w:p>
        </w:tc>
      </w:tr>
      <w:tr w:rsidR="002B2C3E" w:rsidRPr="00AE57E4" w:rsidTr="00AE57E4">
        <w:tc>
          <w:tcPr>
            <w:tcW w:w="534" w:type="dxa"/>
          </w:tcPr>
          <w:p w:rsidR="002B2C3E" w:rsidRPr="00AE57E4" w:rsidRDefault="002B2C3E" w:rsidP="00AE57E4">
            <w:pPr>
              <w:spacing w:after="0" w:line="240" w:lineRule="auto"/>
              <w:jc w:val="center"/>
              <w:rPr>
                <w:rFonts w:ascii="Arial" w:hAnsi="Arial" w:cs="Arial"/>
                <w:b/>
              </w:rPr>
            </w:pP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A</w:t>
            </w:r>
          </w:p>
        </w:tc>
        <w:tc>
          <w:tcPr>
            <w:tcW w:w="8141" w:type="dxa"/>
          </w:tcPr>
          <w:p w:rsidR="002B2C3E" w:rsidRPr="00AE57E4" w:rsidRDefault="002168AD" w:rsidP="00AE57E4">
            <w:pPr>
              <w:spacing w:after="0" w:line="240" w:lineRule="auto"/>
              <w:jc w:val="both"/>
              <w:rPr>
                <w:rFonts w:ascii="Arial" w:hAnsi="Arial" w:cs="Arial"/>
              </w:rPr>
            </w:pPr>
            <w:r w:rsidRPr="00AE57E4">
              <w:rPr>
                <w:rFonts w:ascii="Arial" w:hAnsi="Arial" w:cs="Arial"/>
              </w:rPr>
              <w:t xml:space="preserve">‘Decision Support Tool’ is the name of the official toolkit (created by the Department of Health) that is used by healthcare professionals to review the patient’s assessment outcomes and decide whether the patient is eligible for Continuing Healthcare. </w:t>
            </w:r>
          </w:p>
          <w:p w:rsidR="002168AD" w:rsidRPr="00AE57E4" w:rsidRDefault="002168AD" w:rsidP="00AE57E4">
            <w:pPr>
              <w:spacing w:after="0" w:line="240" w:lineRule="auto"/>
              <w:jc w:val="both"/>
              <w:rPr>
                <w:rFonts w:ascii="Arial" w:hAnsi="Arial" w:cs="Arial"/>
                <w:b/>
              </w:rPr>
            </w:pPr>
          </w:p>
        </w:tc>
      </w:tr>
      <w:tr w:rsidR="002B2C3E" w:rsidRPr="00AE57E4" w:rsidTr="00AE57E4">
        <w:tc>
          <w:tcPr>
            <w:tcW w:w="534"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5</w:t>
            </w: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Q</w:t>
            </w:r>
          </w:p>
        </w:tc>
        <w:tc>
          <w:tcPr>
            <w:tcW w:w="8141" w:type="dxa"/>
          </w:tcPr>
          <w:p w:rsidR="002B2C3E" w:rsidRPr="00AE57E4" w:rsidRDefault="002B2C3E" w:rsidP="00AE57E4">
            <w:pPr>
              <w:spacing w:after="0" w:line="240" w:lineRule="auto"/>
              <w:jc w:val="both"/>
              <w:rPr>
                <w:rFonts w:ascii="Arial" w:hAnsi="Arial" w:cs="Arial"/>
                <w:b/>
              </w:rPr>
            </w:pPr>
            <w:r w:rsidRPr="00AE57E4">
              <w:rPr>
                <w:rFonts w:ascii="Arial" w:hAnsi="Arial" w:cs="Arial"/>
                <w:b/>
              </w:rPr>
              <w:t>What happens if I do not agree with the assessment</w:t>
            </w:r>
            <w:r w:rsidR="009221F5" w:rsidRPr="00AE57E4">
              <w:rPr>
                <w:rFonts w:ascii="Arial" w:hAnsi="Arial" w:cs="Arial"/>
                <w:b/>
              </w:rPr>
              <w:t xml:space="preserve"> or Decision Support Tool</w:t>
            </w:r>
            <w:r w:rsidRPr="00AE57E4">
              <w:rPr>
                <w:rFonts w:ascii="Arial" w:hAnsi="Arial" w:cs="Arial"/>
                <w:b/>
              </w:rPr>
              <w:t xml:space="preserve"> outcomes?</w:t>
            </w:r>
          </w:p>
          <w:p w:rsidR="002168AD" w:rsidRPr="00AE57E4" w:rsidRDefault="002168AD" w:rsidP="00AE57E4">
            <w:pPr>
              <w:spacing w:after="0" w:line="240" w:lineRule="auto"/>
              <w:jc w:val="both"/>
              <w:rPr>
                <w:rFonts w:ascii="Arial" w:hAnsi="Arial" w:cs="Arial"/>
                <w:b/>
              </w:rPr>
            </w:pPr>
          </w:p>
        </w:tc>
      </w:tr>
      <w:tr w:rsidR="002B2C3E" w:rsidRPr="00AE57E4" w:rsidTr="00AE57E4">
        <w:tc>
          <w:tcPr>
            <w:tcW w:w="534" w:type="dxa"/>
          </w:tcPr>
          <w:p w:rsidR="002B2C3E" w:rsidRPr="00AE57E4" w:rsidRDefault="002B2C3E" w:rsidP="00AE57E4">
            <w:pPr>
              <w:spacing w:after="0" w:line="240" w:lineRule="auto"/>
              <w:jc w:val="center"/>
              <w:rPr>
                <w:rFonts w:ascii="Arial" w:hAnsi="Arial" w:cs="Arial"/>
                <w:b/>
              </w:rPr>
            </w:pP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A</w:t>
            </w:r>
          </w:p>
        </w:tc>
        <w:tc>
          <w:tcPr>
            <w:tcW w:w="8141" w:type="dxa"/>
          </w:tcPr>
          <w:p w:rsidR="002B2C3E" w:rsidRPr="00AE57E4" w:rsidRDefault="002168AD" w:rsidP="00AE57E4">
            <w:pPr>
              <w:spacing w:after="0" w:line="240" w:lineRule="auto"/>
              <w:jc w:val="both"/>
              <w:rPr>
                <w:rFonts w:ascii="Arial" w:hAnsi="Arial" w:cs="Arial"/>
              </w:rPr>
            </w:pPr>
            <w:r w:rsidRPr="00AE57E4">
              <w:rPr>
                <w:rFonts w:ascii="Arial" w:hAnsi="Arial" w:cs="Arial"/>
              </w:rPr>
              <w:t>After the assessment has taken place, the patient and their representative will be sent a copy of the written assessment</w:t>
            </w:r>
            <w:r w:rsidR="009221F5" w:rsidRPr="00AE57E4">
              <w:rPr>
                <w:rFonts w:ascii="Arial" w:hAnsi="Arial" w:cs="Arial"/>
              </w:rPr>
              <w:t xml:space="preserve"> and Decision Support tool</w:t>
            </w:r>
            <w:r w:rsidRPr="00AE57E4">
              <w:rPr>
                <w:rFonts w:ascii="Arial" w:hAnsi="Arial" w:cs="Arial"/>
              </w:rPr>
              <w:t xml:space="preserve"> report</w:t>
            </w:r>
            <w:r w:rsidR="009221F5" w:rsidRPr="00AE57E4">
              <w:rPr>
                <w:rFonts w:ascii="Arial" w:hAnsi="Arial" w:cs="Arial"/>
              </w:rPr>
              <w:t>s</w:t>
            </w:r>
            <w:r w:rsidRPr="00AE57E4">
              <w:rPr>
                <w:rFonts w:ascii="Arial" w:hAnsi="Arial" w:cs="Arial"/>
              </w:rPr>
              <w:t xml:space="preserve">. If the patient or their representative feels that there are inaccuracies or omissions in </w:t>
            </w:r>
            <w:r w:rsidRPr="00AE57E4">
              <w:rPr>
                <w:rFonts w:ascii="Arial" w:hAnsi="Arial" w:cs="Arial"/>
              </w:rPr>
              <w:lastRenderedPageBreak/>
              <w:t xml:space="preserve">the assessment report, they are given the opportunity </w:t>
            </w:r>
            <w:r w:rsidR="009221F5" w:rsidRPr="00AE57E4">
              <w:rPr>
                <w:rFonts w:ascii="Arial" w:hAnsi="Arial" w:cs="Arial"/>
              </w:rPr>
              <w:t xml:space="preserve">to comment on these before discussions about eligibility are held among healthcare professionals. </w:t>
            </w:r>
            <w:r w:rsidR="00D51E93" w:rsidRPr="00AE57E4">
              <w:rPr>
                <w:rFonts w:ascii="Arial" w:hAnsi="Arial" w:cs="Arial"/>
              </w:rPr>
              <w:t xml:space="preserve"> </w:t>
            </w:r>
          </w:p>
          <w:p w:rsidR="002168AD" w:rsidRDefault="002168AD" w:rsidP="00AE57E4">
            <w:pPr>
              <w:spacing w:after="0" w:line="240" w:lineRule="auto"/>
              <w:jc w:val="both"/>
              <w:rPr>
                <w:rFonts w:ascii="Arial" w:hAnsi="Arial" w:cs="Arial"/>
                <w:b/>
              </w:rPr>
            </w:pPr>
          </w:p>
          <w:p w:rsidR="00871981" w:rsidRPr="00AE57E4" w:rsidRDefault="00871981" w:rsidP="00AE57E4">
            <w:pPr>
              <w:spacing w:after="0" w:line="240" w:lineRule="auto"/>
              <w:jc w:val="both"/>
              <w:rPr>
                <w:rFonts w:ascii="Arial" w:hAnsi="Arial" w:cs="Arial"/>
                <w:b/>
              </w:rPr>
            </w:pPr>
          </w:p>
        </w:tc>
      </w:tr>
      <w:tr w:rsidR="00D51E93" w:rsidRPr="00AE57E4" w:rsidTr="00AE57E4">
        <w:tc>
          <w:tcPr>
            <w:tcW w:w="534" w:type="dxa"/>
          </w:tcPr>
          <w:p w:rsidR="00D51E93" w:rsidRPr="00AE57E4" w:rsidRDefault="00D51E93" w:rsidP="00AE57E4">
            <w:pPr>
              <w:spacing w:after="0" w:line="240" w:lineRule="auto"/>
              <w:jc w:val="center"/>
              <w:rPr>
                <w:rFonts w:ascii="Arial" w:hAnsi="Arial" w:cs="Arial"/>
                <w:b/>
              </w:rPr>
            </w:pPr>
            <w:r w:rsidRPr="00AE57E4">
              <w:rPr>
                <w:rFonts w:ascii="Arial" w:hAnsi="Arial" w:cs="Arial"/>
                <w:b/>
              </w:rPr>
              <w:lastRenderedPageBreak/>
              <w:t>6</w:t>
            </w:r>
          </w:p>
        </w:tc>
        <w:tc>
          <w:tcPr>
            <w:tcW w:w="567" w:type="dxa"/>
          </w:tcPr>
          <w:p w:rsidR="00D51E93" w:rsidRPr="00AE57E4" w:rsidRDefault="00D51E93" w:rsidP="00AE57E4">
            <w:pPr>
              <w:spacing w:after="0" w:line="240" w:lineRule="auto"/>
              <w:jc w:val="center"/>
              <w:rPr>
                <w:rFonts w:ascii="Arial" w:hAnsi="Arial" w:cs="Arial"/>
                <w:b/>
              </w:rPr>
            </w:pPr>
            <w:r w:rsidRPr="00AE57E4">
              <w:rPr>
                <w:rFonts w:ascii="Arial" w:hAnsi="Arial" w:cs="Arial"/>
                <w:b/>
              </w:rPr>
              <w:t>Q</w:t>
            </w:r>
          </w:p>
        </w:tc>
        <w:tc>
          <w:tcPr>
            <w:tcW w:w="8141" w:type="dxa"/>
          </w:tcPr>
          <w:p w:rsidR="00D51E93" w:rsidRPr="00AE57E4" w:rsidRDefault="00D51E93" w:rsidP="00AE57E4">
            <w:pPr>
              <w:spacing w:after="0" w:line="240" w:lineRule="auto"/>
              <w:jc w:val="both"/>
              <w:rPr>
                <w:rFonts w:ascii="Arial" w:hAnsi="Arial" w:cs="Arial"/>
                <w:b/>
              </w:rPr>
            </w:pPr>
            <w:r w:rsidRPr="00AE57E4">
              <w:rPr>
                <w:rFonts w:ascii="Arial" w:hAnsi="Arial" w:cs="Arial"/>
                <w:b/>
              </w:rPr>
              <w:t>What happens when the assessment is completed?</w:t>
            </w:r>
          </w:p>
          <w:p w:rsidR="00E302A3" w:rsidRPr="00AE57E4" w:rsidRDefault="00E302A3" w:rsidP="00AE57E4">
            <w:pPr>
              <w:spacing w:after="0" w:line="240" w:lineRule="auto"/>
              <w:jc w:val="both"/>
              <w:rPr>
                <w:rFonts w:ascii="Arial" w:hAnsi="Arial" w:cs="Arial"/>
                <w:b/>
              </w:rPr>
            </w:pPr>
          </w:p>
        </w:tc>
      </w:tr>
      <w:tr w:rsidR="00D51E93" w:rsidRPr="00AE57E4" w:rsidTr="00AE57E4">
        <w:tc>
          <w:tcPr>
            <w:tcW w:w="534" w:type="dxa"/>
          </w:tcPr>
          <w:p w:rsidR="00D51E93" w:rsidRPr="00AE57E4" w:rsidRDefault="00D51E93" w:rsidP="00AE57E4">
            <w:pPr>
              <w:spacing w:after="0" w:line="240" w:lineRule="auto"/>
              <w:jc w:val="center"/>
              <w:rPr>
                <w:rFonts w:ascii="Arial" w:hAnsi="Arial" w:cs="Arial"/>
                <w:b/>
              </w:rPr>
            </w:pPr>
          </w:p>
        </w:tc>
        <w:tc>
          <w:tcPr>
            <w:tcW w:w="567" w:type="dxa"/>
          </w:tcPr>
          <w:p w:rsidR="00D51E93" w:rsidRPr="00AE57E4" w:rsidRDefault="00D51E93" w:rsidP="00AE57E4">
            <w:pPr>
              <w:spacing w:after="0" w:line="240" w:lineRule="auto"/>
              <w:jc w:val="center"/>
              <w:rPr>
                <w:rFonts w:ascii="Arial" w:hAnsi="Arial" w:cs="Arial"/>
                <w:b/>
              </w:rPr>
            </w:pPr>
            <w:r w:rsidRPr="00AE57E4">
              <w:rPr>
                <w:rFonts w:ascii="Arial" w:hAnsi="Arial" w:cs="Arial"/>
                <w:b/>
              </w:rPr>
              <w:t>A</w:t>
            </w:r>
          </w:p>
        </w:tc>
        <w:tc>
          <w:tcPr>
            <w:tcW w:w="8141" w:type="dxa"/>
          </w:tcPr>
          <w:p w:rsidR="00D51E93" w:rsidRPr="00AE57E4" w:rsidRDefault="00D51E93" w:rsidP="00AE57E4">
            <w:pPr>
              <w:spacing w:after="0" w:line="240" w:lineRule="auto"/>
              <w:jc w:val="both"/>
              <w:rPr>
                <w:rFonts w:ascii="Arial" w:hAnsi="Arial" w:cs="Arial"/>
              </w:rPr>
            </w:pPr>
            <w:r w:rsidRPr="00AE57E4">
              <w:rPr>
                <w:rFonts w:ascii="Arial" w:hAnsi="Arial" w:cs="Arial"/>
              </w:rPr>
              <w:t>When the assessment and the Decision Support Tool have been completed, the outcomes of both wi</w:t>
            </w:r>
            <w:r w:rsidR="009663D7" w:rsidRPr="00AE57E4">
              <w:rPr>
                <w:rFonts w:ascii="Arial" w:hAnsi="Arial" w:cs="Arial"/>
              </w:rPr>
              <w:t xml:space="preserve">ll be presented to a panel </w:t>
            </w:r>
            <w:r w:rsidR="009221F5" w:rsidRPr="00AE57E4">
              <w:rPr>
                <w:rFonts w:ascii="Arial" w:hAnsi="Arial" w:cs="Arial"/>
              </w:rPr>
              <w:t xml:space="preserve">of professionals </w:t>
            </w:r>
            <w:r w:rsidR="009663D7" w:rsidRPr="00AE57E4">
              <w:rPr>
                <w:rFonts w:ascii="Arial" w:hAnsi="Arial" w:cs="Arial"/>
              </w:rPr>
              <w:t>who</w:t>
            </w:r>
            <w:r w:rsidRPr="00AE57E4">
              <w:rPr>
                <w:rFonts w:ascii="Arial" w:hAnsi="Arial" w:cs="Arial"/>
              </w:rPr>
              <w:t xml:space="preserve"> make the final decision as to whether </w:t>
            </w:r>
            <w:r w:rsidR="009663D7" w:rsidRPr="00AE57E4">
              <w:rPr>
                <w:rFonts w:ascii="Arial" w:hAnsi="Arial" w:cs="Arial"/>
              </w:rPr>
              <w:t xml:space="preserve">the patient should be eligible for Continuing Healthcare or not. </w:t>
            </w:r>
          </w:p>
          <w:p w:rsidR="009663D7" w:rsidRPr="00AE57E4" w:rsidRDefault="009663D7" w:rsidP="00AE57E4">
            <w:pPr>
              <w:spacing w:after="0" w:line="240" w:lineRule="auto"/>
              <w:jc w:val="both"/>
              <w:rPr>
                <w:rFonts w:ascii="Arial" w:hAnsi="Arial" w:cs="Arial"/>
              </w:rPr>
            </w:pPr>
          </w:p>
          <w:p w:rsidR="009663D7" w:rsidRPr="00AE57E4" w:rsidRDefault="009663D7" w:rsidP="00AE57E4">
            <w:pPr>
              <w:spacing w:after="0" w:line="240" w:lineRule="auto"/>
              <w:jc w:val="both"/>
              <w:rPr>
                <w:rFonts w:ascii="Arial" w:hAnsi="Arial" w:cs="Arial"/>
              </w:rPr>
            </w:pPr>
            <w:r w:rsidRPr="00AE57E4">
              <w:rPr>
                <w:rFonts w:ascii="Arial" w:hAnsi="Arial" w:cs="Arial"/>
              </w:rPr>
              <w:t xml:space="preserve">The decision of eligibility made by the </w:t>
            </w:r>
            <w:r w:rsidR="00876558">
              <w:rPr>
                <w:rFonts w:ascii="Arial" w:hAnsi="Arial" w:cs="Arial"/>
              </w:rPr>
              <w:t xml:space="preserve">‘ratification’ </w:t>
            </w:r>
            <w:r w:rsidRPr="00AE57E4">
              <w:rPr>
                <w:rFonts w:ascii="Arial" w:hAnsi="Arial" w:cs="Arial"/>
              </w:rPr>
              <w:t xml:space="preserve">panel will be sent to the patient and their representative in writing. </w:t>
            </w:r>
          </w:p>
          <w:p w:rsidR="00E302A3" w:rsidRPr="00AE57E4" w:rsidRDefault="00E302A3" w:rsidP="00AE57E4">
            <w:pPr>
              <w:spacing w:after="0" w:line="240" w:lineRule="auto"/>
              <w:jc w:val="both"/>
              <w:rPr>
                <w:rFonts w:ascii="Arial" w:hAnsi="Arial" w:cs="Arial"/>
              </w:rPr>
            </w:pPr>
          </w:p>
        </w:tc>
      </w:tr>
      <w:tr w:rsidR="002B2C3E" w:rsidRPr="00AE57E4" w:rsidTr="00AE57E4">
        <w:tc>
          <w:tcPr>
            <w:tcW w:w="534" w:type="dxa"/>
          </w:tcPr>
          <w:p w:rsidR="002B2C3E" w:rsidRPr="00AE57E4" w:rsidRDefault="009221F5" w:rsidP="00AE57E4">
            <w:pPr>
              <w:spacing w:after="0" w:line="240" w:lineRule="auto"/>
              <w:jc w:val="center"/>
              <w:rPr>
                <w:rFonts w:ascii="Arial" w:hAnsi="Arial" w:cs="Arial"/>
                <w:b/>
              </w:rPr>
            </w:pPr>
            <w:r w:rsidRPr="00AE57E4">
              <w:rPr>
                <w:rFonts w:ascii="Arial" w:hAnsi="Arial" w:cs="Arial"/>
                <w:b/>
              </w:rPr>
              <w:t>7</w:t>
            </w: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Q</w:t>
            </w:r>
          </w:p>
        </w:tc>
        <w:tc>
          <w:tcPr>
            <w:tcW w:w="8141" w:type="dxa"/>
          </w:tcPr>
          <w:p w:rsidR="002B2C3E" w:rsidRPr="00AE57E4" w:rsidRDefault="002B2C3E" w:rsidP="00AE57E4">
            <w:pPr>
              <w:spacing w:after="0" w:line="240" w:lineRule="auto"/>
              <w:jc w:val="both"/>
              <w:rPr>
                <w:rFonts w:ascii="Arial" w:hAnsi="Arial" w:cs="Arial"/>
                <w:b/>
              </w:rPr>
            </w:pPr>
            <w:r w:rsidRPr="00AE57E4">
              <w:rPr>
                <w:rFonts w:ascii="Arial" w:hAnsi="Arial" w:cs="Arial"/>
                <w:b/>
              </w:rPr>
              <w:t>What happens if I am eligible for Continuing Healthcare funding?</w:t>
            </w:r>
          </w:p>
          <w:p w:rsidR="00D51E93" w:rsidRPr="00AE57E4" w:rsidRDefault="00D51E93" w:rsidP="00AE57E4">
            <w:pPr>
              <w:spacing w:after="0" w:line="240" w:lineRule="auto"/>
              <w:jc w:val="both"/>
              <w:rPr>
                <w:rFonts w:ascii="Arial" w:hAnsi="Arial" w:cs="Arial"/>
                <w:b/>
              </w:rPr>
            </w:pPr>
          </w:p>
        </w:tc>
      </w:tr>
      <w:tr w:rsidR="002B2C3E" w:rsidRPr="00AE57E4" w:rsidTr="00AE57E4">
        <w:tc>
          <w:tcPr>
            <w:tcW w:w="534" w:type="dxa"/>
          </w:tcPr>
          <w:p w:rsidR="002B2C3E" w:rsidRPr="00AE57E4" w:rsidRDefault="002B2C3E" w:rsidP="00AE57E4">
            <w:pPr>
              <w:spacing w:after="0" w:line="240" w:lineRule="auto"/>
              <w:jc w:val="center"/>
              <w:rPr>
                <w:rFonts w:ascii="Arial" w:hAnsi="Arial" w:cs="Arial"/>
                <w:b/>
              </w:rPr>
            </w:pP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A</w:t>
            </w:r>
          </w:p>
        </w:tc>
        <w:tc>
          <w:tcPr>
            <w:tcW w:w="8141" w:type="dxa"/>
          </w:tcPr>
          <w:p w:rsidR="002B2C3E" w:rsidRPr="00AE57E4" w:rsidRDefault="009663D7" w:rsidP="00AE57E4">
            <w:pPr>
              <w:spacing w:after="0" w:line="240" w:lineRule="auto"/>
              <w:jc w:val="both"/>
              <w:rPr>
                <w:rFonts w:ascii="Arial" w:hAnsi="Arial" w:cs="Arial"/>
              </w:rPr>
            </w:pPr>
            <w:r w:rsidRPr="00AE57E4">
              <w:rPr>
                <w:rFonts w:ascii="Arial" w:hAnsi="Arial" w:cs="Arial"/>
              </w:rPr>
              <w:t xml:space="preserve">If the patient is agreed as eligible for Continuing Healthcare funding </w:t>
            </w:r>
            <w:r w:rsidR="00876558">
              <w:rPr>
                <w:rFonts w:ascii="Arial" w:hAnsi="Arial" w:cs="Arial"/>
              </w:rPr>
              <w:t>the Continuing Healthcare ‘Single Point of Access’ team</w:t>
            </w:r>
            <w:r w:rsidR="007E5FEC" w:rsidRPr="00AE57E4">
              <w:rPr>
                <w:rFonts w:ascii="Arial" w:hAnsi="Arial" w:cs="Arial"/>
              </w:rPr>
              <w:t xml:space="preserve"> will liaise with them and their representatives to discuss the required care provisions and how these will be coordinated. </w:t>
            </w:r>
          </w:p>
          <w:p w:rsidR="00D51E93" w:rsidRPr="00AE57E4" w:rsidRDefault="00D51E93" w:rsidP="00AE57E4">
            <w:pPr>
              <w:spacing w:after="0" w:line="240" w:lineRule="auto"/>
              <w:jc w:val="both"/>
              <w:rPr>
                <w:rFonts w:ascii="Arial" w:hAnsi="Arial" w:cs="Arial"/>
                <w:b/>
              </w:rPr>
            </w:pPr>
          </w:p>
        </w:tc>
      </w:tr>
      <w:tr w:rsidR="002B2C3E" w:rsidRPr="00AE57E4" w:rsidTr="00AE57E4">
        <w:tc>
          <w:tcPr>
            <w:tcW w:w="534" w:type="dxa"/>
          </w:tcPr>
          <w:p w:rsidR="002B2C3E" w:rsidRPr="00AE57E4" w:rsidRDefault="009221F5" w:rsidP="00AE57E4">
            <w:pPr>
              <w:spacing w:after="0" w:line="240" w:lineRule="auto"/>
              <w:jc w:val="center"/>
              <w:rPr>
                <w:rFonts w:ascii="Arial" w:hAnsi="Arial" w:cs="Arial"/>
                <w:b/>
              </w:rPr>
            </w:pPr>
            <w:r w:rsidRPr="00AE57E4">
              <w:rPr>
                <w:rFonts w:ascii="Arial" w:hAnsi="Arial" w:cs="Arial"/>
                <w:b/>
              </w:rPr>
              <w:t>8</w:t>
            </w: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Q</w:t>
            </w:r>
          </w:p>
        </w:tc>
        <w:tc>
          <w:tcPr>
            <w:tcW w:w="8141" w:type="dxa"/>
          </w:tcPr>
          <w:p w:rsidR="002B2C3E" w:rsidRPr="00AE57E4" w:rsidRDefault="002B2C3E" w:rsidP="00AE57E4">
            <w:pPr>
              <w:spacing w:after="0" w:line="240" w:lineRule="auto"/>
              <w:jc w:val="both"/>
              <w:rPr>
                <w:rFonts w:ascii="Arial" w:hAnsi="Arial" w:cs="Arial"/>
                <w:b/>
              </w:rPr>
            </w:pPr>
            <w:r w:rsidRPr="00AE57E4">
              <w:rPr>
                <w:rFonts w:ascii="Arial" w:hAnsi="Arial" w:cs="Arial"/>
                <w:b/>
              </w:rPr>
              <w:t>Will my current care arrangements continue?</w:t>
            </w:r>
          </w:p>
          <w:p w:rsidR="007E5FEC" w:rsidRPr="00AE57E4" w:rsidRDefault="007E5FEC" w:rsidP="00AE57E4">
            <w:pPr>
              <w:spacing w:after="0" w:line="240" w:lineRule="auto"/>
              <w:jc w:val="both"/>
              <w:rPr>
                <w:rFonts w:ascii="Arial" w:hAnsi="Arial" w:cs="Arial"/>
                <w:b/>
              </w:rPr>
            </w:pPr>
          </w:p>
        </w:tc>
      </w:tr>
      <w:tr w:rsidR="002B2C3E" w:rsidRPr="00AE57E4" w:rsidTr="00AE57E4">
        <w:tc>
          <w:tcPr>
            <w:tcW w:w="534" w:type="dxa"/>
          </w:tcPr>
          <w:p w:rsidR="002B2C3E" w:rsidRPr="00AE57E4" w:rsidRDefault="002B2C3E" w:rsidP="00AE57E4">
            <w:pPr>
              <w:spacing w:after="0" w:line="240" w:lineRule="auto"/>
              <w:rPr>
                <w:rFonts w:ascii="Arial" w:hAnsi="Arial" w:cs="Arial"/>
                <w:b/>
              </w:rPr>
            </w:pP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A</w:t>
            </w:r>
          </w:p>
        </w:tc>
        <w:tc>
          <w:tcPr>
            <w:tcW w:w="8141" w:type="dxa"/>
          </w:tcPr>
          <w:p w:rsidR="002B2C3E" w:rsidRPr="00AE57E4" w:rsidRDefault="007E5FEC" w:rsidP="00AE57E4">
            <w:pPr>
              <w:spacing w:after="0" w:line="240" w:lineRule="auto"/>
              <w:jc w:val="both"/>
              <w:rPr>
                <w:rFonts w:ascii="Arial" w:hAnsi="Arial" w:cs="Arial"/>
              </w:rPr>
            </w:pPr>
            <w:r w:rsidRPr="00AE57E4">
              <w:rPr>
                <w:rFonts w:ascii="Arial" w:hAnsi="Arial" w:cs="Arial"/>
              </w:rPr>
              <w:t>NHS Warwickshire work</w:t>
            </w:r>
            <w:r w:rsidR="00876558">
              <w:rPr>
                <w:rFonts w:ascii="Arial" w:hAnsi="Arial" w:cs="Arial"/>
              </w:rPr>
              <w:t>s</w:t>
            </w:r>
            <w:r w:rsidRPr="00AE57E4">
              <w:rPr>
                <w:rFonts w:ascii="Arial" w:hAnsi="Arial" w:cs="Arial"/>
              </w:rPr>
              <w:t xml:space="preserve"> to take patient’s preferences into consideration when organising care arrangements. However, NHS Warwickshire </w:t>
            </w:r>
            <w:r w:rsidR="00876558">
              <w:rPr>
                <w:rFonts w:ascii="Arial" w:hAnsi="Arial" w:cs="Arial"/>
              </w:rPr>
              <w:t>work</w:t>
            </w:r>
            <w:r w:rsidR="0068111F">
              <w:rPr>
                <w:rFonts w:ascii="Arial" w:hAnsi="Arial" w:cs="Arial"/>
              </w:rPr>
              <w:t>s</w:t>
            </w:r>
            <w:r w:rsidR="00876558">
              <w:rPr>
                <w:rFonts w:ascii="Arial" w:hAnsi="Arial" w:cs="Arial"/>
              </w:rPr>
              <w:t xml:space="preserve"> </w:t>
            </w:r>
            <w:r w:rsidR="0068111F">
              <w:rPr>
                <w:rFonts w:ascii="Arial" w:hAnsi="Arial" w:cs="Arial"/>
              </w:rPr>
              <w:t>with</w:t>
            </w:r>
            <w:r w:rsidR="00876558">
              <w:rPr>
                <w:rFonts w:ascii="Arial" w:hAnsi="Arial" w:cs="Arial"/>
              </w:rPr>
              <w:t xml:space="preserve"> a </w:t>
            </w:r>
            <w:r w:rsidR="0068111F">
              <w:rPr>
                <w:rFonts w:ascii="Arial" w:hAnsi="Arial" w:cs="Arial"/>
              </w:rPr>
              <w:t>f</w:t>
            </w:r>
            <w:r w:rsidR="00876558">
              <w:rPr>
                <w:rFonts w:ascii="Arial" w:hAnsi="Arial" w:cs="Arial"/>
              </w:rPr>
              <w:t>ramework</w:t>
            </w:r>
            <w:r w:rsidRPr="00AE57E4">
              <w:rPr>
                <w:rFonts w:ascii="Arial" w:hAnsi="Arial" w:cs="Arial"/>
              </w:rPr>
              <w:t xml:space="preserve"> of preferred care providers across the county that provide good quality of care for a reasonable cost, and comply with the National Framework for Continuing Healthcare. </w:t>
            </w:r>
          </w:p>
          <w:p w:rsidR="007E5FEC" w:rsidRPr="00AE57E4" w:rsidRDefault="007E5FEC" w:rsidP="00AE57E4">
            <w:pPr>
              <w:spacing w:after="0" w:line="240" w:lineRule="auto"/>
              <w:jc w:val="both"/>
              <w:rPr>
                <w:rFonts w:ascii="Arial" w:hAnsi="Arial" w:cs="Arial"/>
                <w:b/>
              </w:rPr>
            </w:pPr>
          </w:p>
        </w:tc>
      </w:tr>
      <w:tr w:rsidR="002B2C3E" w:rsidRPr="00AE57E4" w:rsidTr="00AE57E4">
        <w:tc>
          <w:tcPr>
            <w:tcW w:w="534" w:type="dxa"/>
          </w:tcPr>
          <w:p w:rsidR="002B2C3E" w:rsidRPr="00AE57E4" w:rsidRDefault="009221F5" w:rsidP="00AE57E4">
            <w:pPr>
              <w:spacing w:after="0" w:line="240" w:lineRule="auto"/>
              <w:jc w:val="center"/>
              <w:rPr>
                <w:rFonts w:ascii="Arial" w:hAnsi="Arial" w:cs="Arial"/>
                <w:b/>
              </w:rPr>
            </w:pPr>
            <w:r w:rsidRPr="00AE57E4">
              <w:rPr>
                <w:rFonts w:ascii="Arial" w:hAnsi="Arial" w:cs="Arial"/>
                <w:b/>
              </w:rPr>
              <w:t>9</w:t>
            </w: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Q</w:t>
            </w:r>
          </w:p>
        </w:tc>
        <w:tc>
          <w:tcPr>
            <w:tcW w:w="8141" w:type="dxa"/>
          </w:tcPr>
          <w:p w:rsidR="002B2C3E" w:rsidRPr="00AE57E4" w:rsidRDefault="002B2C3E" w:rsidP="00AE57E4">
            <w:pPr>
              <w:spacing w:after="0" w:line="240" w:lineRule="auto"/>
              <w:jc w:val="both"/>
              <w:rPr>
                <w:rFonts w:ascii="Arial" w:hAnsi="Arial" w:cs="Arial"/>
                <w:b/>
              </w:rPr>
            </w:pPr>
            <w:r w:rsidRPr="00AE57E4">
              <w:rPr>
                <w:rFonts w:ascii="Arial" w:hAnsi="Arial" w:cs="Arial"/>
                <w:b/>
              </w:rPr>
              <w:t>How will my care arrangements be decided on?</w:t>
            </w:r>
          </w:p>
          <w:p w:rsidR="007E5FEC" w:rsidRPr="00AE57E4" w:rsidRDefault="007E5FEC" w:rsidP="00AE57E4">
            <w:pPr>
              <w:spacing w:after="0" w:line="240" w:lineRule="auto"/>
              <w:jc w:val="both"/>
              <w:rPr>
                <w:rFonts w:ascii="Arial" w:hAnsi="Arial" w:cs="Arial"/>
                <w:b/>
              </w:rPr>
            </w:pPr>
          </w:p>
        </w:tc>
      </w:tr>
      <w:tr w:rsidR="002B2C3E" w:rsidRPr="00AE57E4" w:rsidTr="00AE57E4">
        <w:tc>
          <w:tcPr>
            <w:tcW w:w="534" w:type="dxa"/>
          </w:tcPr>
          <w:p w:rsidR="002B2C3E" w:rsidRPr="00AE57E4" w:rsidRDefault="002B2C3E" w:rsidP="00AE57E4">
            <w:pPr>
              <w:spacing w:after="0" w:line="240" w:lineRule="auto"/>
              <w:jc w:val="center"/>
              <w:rPr>
                <w:rFonts w:ascii="Arial" w:hAnsi="Arial" w:cs="Arial"/>
                <w:b/>
              </w:rPr>
            </w:pP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A</w:t>
            </w:r>
          </w:p>
        </w:tc>
        <w:tc>
          <w:tcPr>
            <w:tcW w:w="8141" w:type="dxa"/>
          </w:tcPr>
          <w:p w:rsidR="004309BD" w:rsidRPr="00AE57E4" w:rsidRDefault="007E5FEC" w:rsidP="00AE57E4">
            <w:pPr>
              <w:spacing w:after="0" w:line="240" w:lineRule="auto"/>
              <w:jc w:val="both"/>
              <w:rPr>
                <w:rFonts w:ascii="Arial" w:hAnsi="Arial" w:cs="Arial"/>
              </w:rPr>
            </w:pPr>
            <w:r w:rsidRPr="00AE57E4">
              <w:rPr>
                <w:rFonts w:ascii="Arial" w:hAnsi="Arial" w:cs="Arial"/>
              </w:rPr>
              <w:t>NHS Warwickshire has developed the ‘Patient Choice and Resource Allocation’ policy for Continuing Healthcare.</w:t>
            </w:r>
            <w:r w:rsidR="004309BD" w:rsidRPr="00AE57E4">
              <w:rPr>
                <w:rFonts w:ascii="Arial" w:hAnsi="Arial" w:cs="Arial"/>
              </w:rPr>
              <w:t xml:space="preserve"> This policy outlines the factors that </w:t>
            </w:r>
            <w:r w:rsidRPr="00AE57E4">
              <w:rPr>
                <w:rFonts w:ascii="Arial" w:hAnsi="Arial" w:cs="Arial"/>
              </w:rPr>
              <w:t xml:space="preserve">NHS Warwickshire </w:t>
            </w:r>
            <w:r w:rsidR="004309BD" w:rsidRPr="00AE57E4">
              <w:rPr>
                <w:rFonts w:ascii="Arial" w:hAnsi="Arial" w:cs="Arial"/>
              </w:rPr>
              <w:t xml:space="preserve">is required to consider when choosing potential care settings for patients. </w:t>
            </w:r>
          </w:p>
          <w:p w:rsidR="004309BD" w:rsidRPr="00AE57E4" w:rsidRDefault="004309BD" w:rsidP="00AE57E4">
            <w:pPr>
              <w:spacing w:after="0" w:line="240" w:lineRule="auto"/>
              <w:jc w:val="both"/>
              <w:rPr>
                <w:rFonts w:ascii="Arial" w:hAnsi="Arial" w:cs="Arial"/>
              </w:rPr>
            </w:pPr>
          </w:p>
          <w:p w:rsidR="007E5FEC" w:rsidRPr="00AE57E4" w:rsidRDefault="004309BD" w:rsidP="00AE57E4">
            <w:pPr>
              <w:spacing w:after="0" w:line="240" w:lineRule="auto"/>
              <w:jc w:val="both"/>
              <w:rPr>
                <w:rFonts w:ascii="Arial" w:hAnsi="Arial" w:cs="Arial"/>
              </w:rPr>
            </w:pPr>
            <w:r w:rsidRPr="00AE57E4">
              <w:rPr>
                <w:rFonts w:ascii="Arial" w:hAnsi="Arial" w:cs="Arial"/>
              </w:rPr>
              <w:t xml:space="preserve">NHS Warwickshire will identify three care settings that are equipped to provide </w:t>
            </w:r>
            <w:r w:rsidR="00F95AFA" w:rsidRPr="00AE57E4">
              <w:rPr>
                <w:rFonts w:ascii="Arial" w:hAnsi="Arial" w:cs="Arial"/>
              </w:rPr>
              <w:t xml:space="preserve">suitable healthcare for the patient whilst providing value for money. One of these three options will be within a 10 mile radius of the patient’s preferred location. </w:t>
            </w:r>
          </w:p>
          <w:p w:rsidR="00F95AFA" w:rsidRPr="00AE57E4" w:rsidRDefault="00F95AFA" w:rsidP="00AE57E4">
            <w:pPr>
              <w:spacing w:after="0" w:line="240" w:lineRule="auto"/>
              <w:jc w:val="both"/>
              <w:rPr>
                <w:rFonts w:ascii="Arial" w:hAnsi="Arial" w:cs="Arial"/>
              </w:rPr>
            </w:pPr>
            <w:r w:rsidRPr="00AE57E4">
              <w:rPr>
                <w:rFonts w:ascii="Arial" w:hAnsi="Arial" w:cs="Arial"/>
              </w:rPr>
              <w:t>The patient is required to choose one of the three options within 48 hours of the choices being offered, to ensure that the patient’s needs are met in a suitable environment as soon as possible</w:t>
            </w:r>
            <w:r w:rsidR="00876558">
              <w:rPr>
                <w:rFonts w:ascii="Arial" w:hAnsi="Arial" w:cs="Arial"/>
              </w:rPr>
              <w:t>, and that a suitable bed remains available</w:t>
            </w:r>
            <w:r w:rsidRPr="00AE57E4">
              <w:rPr>
                <w:rFonts w:ascii="Arial" w:hAnsi="Arial" w:cs="Arial"/>
              </w:rPr>
              <w:t>. (Please note that if the patient has not made a decision within this 48 h</w:t>
            </w:r>
            <w:r w:rsidR="00FE56ED" w:rsidRPr="00AE57E4">
              <w:rPr>
                <w:rFonts w:ascii="Arial" w:hAnsi="Arial" w:cs="Arial"/>
              </w:rPr>
              <w:t>our period, NHS Warwickshire is</w:t>
            </w:r>
            <w:r w:rsidRPr="00AE57E4">
              <w:rPr>
                <w:rFonts w:ascii="Arial" w:hAnsi="Arial" w:cs="Arial"/>
              </w:rPr>
              <w:t xml:space="preserve"> required to choose a care setting on behalf of the patient). </w:t>
            </w:r>
          </w:p>
          <w:p w:rsidR="00F95AFA" w:rsidRPr="00AE57E4" w:rsidRDefault="00F95AFA" w:rsidP="00AE57E4">
            <w:pPr>
              <w:spacing w:after="0" w:line="240" w:lineRule="auto"/>
              <w:jc w:val="both"/>
              <w:rPr>
                <w:rFonts w:ascii="Arial" w:hAnsi="Arial" w:cs="Arial"/>
              </w:rPr>
            </w:pPr>
          </w:p>
        </w:tc>
      </w:tr>
      <w:tr w:rsidR="002B2C3E" w:rsidRPr="00AE57E4" w:rsidTr="00AE57E4">
        <w:tc>
          <w:tcPr>
            <w:tcW w:w="534" w:type="dxa"/>
          </w:tcPr>
          <w:p w:rsidR="002B2C3E" w:rsidRPr="00AE57E4" w:rsidRDefault="009221F5" w:rsidP="00AE57E4">
            <w:pPr>
              <w:spacing w:after="0" w:line="240" w:lineRule="auto"/>
              <w:jc w:val="center"/>
              <w:rPr>
                <w:rFonts w:ascii="Arial" w:hAnsi="Arial" w:cs="Arial"/>
                <w:b/>
              </w:rPr>
            </w:pPr>
            <w:r w:rsidRPr="00AE57E4">
              <w:rPr>
                <w:rFonts w:ascii="Arial" w:hAnsi="Arial" w:cs="Arial"/>
                <w:b/>
              </w:rPr>
              <w:t>10</w:t>
            </w: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Q</w:t>
            </w:r>
          </w:p>
        </w:tc>
        <w:tc>
          <w:tcPr>
            <w:tcW w:w="8141" w:type="dxa"/>
          </w:tcPr>
          <w:p w:rsidR="00FE56ED" w:rsidRPr="00AE57E4" w:rsidRDefault="002B2C3E" w:rsidP="00AE57E4">
            <w:pPr>
              <w:spacing w:after="0" w:line="240" w:lineRule="auto"/>
              <w:jc w:val="both"/>
              <w:rPr>
                <w:rFonts w:ascii="Arial" w:hAnsi="Arial" w:cs="Arial"/>
                <w:b/>
              </w:rPr>
            </w:pPr>
            <w:r w:rsidRPr="00AE57E4">
              <w:rPr>
                <w:rFonts w:ascii="Arial" w:hAnsi="Arial" w:cs="Arial"/>
                <w:b/>
              </w:rPr>
              <w:t>Will I continue to pay my personal contributions?</w:t>
            </w:r>
          </w:p>
          <w:p w:rsidR="00FE56ED" w:rsidRPr="00AE57E4" w:rsidRDefault="00FE56ED" w:rsidP="00AE57E4">
            <w:pPr>
              <w:spacing w:after="0" w:line="240" w:lineRule="auto"/>
              <w:jc w:val="both"/>
              <w:rPr>
                <w:rFonts w:ascii="Arial" w:hAnsi="Arial" w:cs="Arial"/>
                <w:b/>
              </w:rPr>
            </w:pPr>
          </w:p>
        </w:tc>
      </w:tr>
      <w:tr w:rsidR="002B2C3E" w:rsidRPr="00AE57E4" w:rsidTr="00AE57E4">
        <w:tc>
          <w:tcPr>
            <w:tcW w:w="534" w:type="dxa"/>
          </w:tcPr>
          <w:p w:rsidR="002B2C3E" w:rsidRPr="00AE57E4" w:rsidRDefault="002B2C3E" w:rsidP="00AE57E4">
            <w:pPr>
              <w:spacing w:after="0" w:line="240" w:lineRule="auto"/>
              <w:jc w:val="center"/>
              <w:rPr>
                <w:rFonts w:ascii="Arial" w:hAnsi="Arial" w:cs="Arial"/>
                <w:b/>
              </w:rPr>
            </w:pP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A</w:t>
            </w:r>
          </w:p>
        </w:tc>
        <w:tc>
          <w:tcPr>
            <w:tcW w:w="8141" w:type="dxa"/>
          </w:tcPr>
          <w:p w:rsidR="00FE56ED" w:rsidRPr="00AE57E4" w:rsidRDefault="00FE56ED" w:rsidP="00AE57E4">
            <w:pPr>
              <w:spacing w:after="0" w:line="240" w:lineRule="auto"/>
              <w:jc w:val="both"/>
              <w:rPr>
                <w:rFonts w:ascii="Arial" w:hAnsi="Arial" w:cs="Arial"/>
              </w:rPr>
            </w:pPr>
            <w:r w:rsidRPr="00AE57E4">
              <w:rPr>
                <w:rFonts w:ascii="Arial" w:hAnsi="Arial" w:cs="Arial"/>
              </w:rPr>
              <w:t xml:space="preserve">No, once a patient is eligible for Continuing Healthcare, NHS Warwickshire becomes responsible for funding all the patient’s healthcare needs. </w:t>
            </w:r>
          </w:p>
        </w:tc>
      </w:tr>
      <w:tr w:rsidR="002B2C3E" w:rsidRPr="00AE57E4" w:rsidTr="00AE57E4">
        <w:tc>
          <w:tcPr>
            <w:tcW w:w="534" w:type="dxa"/>
          </w:tcPr>
          <w:p w:rsidR="002B2C3E" w:rsidRPr="00AE57E4" w:rsidRDefault="009221F5" w:rsidP="00AE57E4">
            <w:pPr>
              <w:spacing w:after="0" w:line="240" w:lineRule="auto"/>
              <w:jc w:val="center"/>
              <w:rPr>
                <w:rFonts w:ascii="Arial" w:hAnsi="Arial" w:cs="Arial"/>
                <w:b/>
              </w:rPr>
            </w:pPr>
            <w:r w:rsidRPr="00AE57E4">
              <w:rPr>
                <w:rFonts w:ascii="Arial" w:hAnsi="Arial" w:cs="Arial"/>
                <w:b/>
              </w:rPr>
              <w:t>11</w:t>
            </w: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Q</w:t>
            </w:r>
          </w:p>
        </w:tc>
        <w:tc>
          <w:tcPr>
            <w:tcW w:w="8141" w:type="dxa"/>
          </w:tcPr>
          <w:p w:rsidR="002B2C3E" w:rsidRPr="00AE57E4" w:rsidRDefault="002B2C3E" w:rsidP="00AE57E4">
            <w:pPr>
              <w:spacing w:after="0" w:line="240" w:lineRule="auto"/>
              <w:jc w:val="both"/>
              <w:rPr>
                <w:rFonts w:ascii="Arial" w:hAnsi="Arial" w:cs="Arial"/>
                <w:b/>
              </w:rPr>
            </w:pPr>
            <w:r w:rsidRPr="00AE57E4">
              <w:rPr>
                <w:rFonts w:ascii="Arial" w:hAnsi="Arial" w:cs="Arial"/>
                <w:b/>
              </w:rPr>
              <w:t>Is Continuing Healthcare funding permanent?</w:t>
            </w:r>
          </w:p>
          <w:p w:rsidR="00FE56ED" w:rsidRPr="00AE57E4" w:rsidRDefault="00FE56ED" w:rsidP="00AE57E4">
            <w:pPr>
              <w:spacing w:after="0" w:line="240" w:lineRule="auto"/>
              <w:jc w:val="both"/>
              <w:rPr>
                <w:rFonts w:ascii="Arial" w:hAnsi="Arial" w:cs="Arial"/>
                <w:b/>
              </w:rPr>
            </w:pPr>
          </w:p>
        </w:tc>
      </w:tr>
      <w:tr w:rsidR="002B2C3E" w:rsidRPr="00AE57E4" w:rsidTr="00AE57E4">
        <w:tc>
          <w:tcPr>
            <w:tcW w:w="534" w:type="dxa"/>
          </w:tcPr>
          <w:p w:rsidR="002B2C3E" w:rsidRPr="00AE57E4" w:rsidRDefault="002B2C3E" w:rsidP="00AE57E4">
            <w:pPr>
              <w:spacing w:after="0" w:line="240" w:lineRule="auto"/>
              <w:jc w:val="center"/>
              <w:rPr>
                <w:rFonts w:ascii="Arial" w:hAnsi="Arial" w:cs="Arial"/>
                <w:b/>
              </w:rPr>
            </w:pP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A</w:t>
            </w:r>
          </w:p>
        </w:tc>
        <w:tc>
          <w:tcPr>
            <w:tcW w:w="8141" w:type="dxa"/>
          </w:tcPr>
          <w:p w:rsidR="002B2C3E" w:rsidRPr="00AE57E4" w:rsidRDefault="00FE56ED" w:rsidP="00AE57E4">
            <w:pPr>
              <w:spacing w:after="0" w:line="240" w:lineRule="auto"/>
              <w:jc w:val="both"/>
              <w:rPr>
                <w:rFonts w:ascii="Arial" w:hAnsi="Arial" w:cs="Arial"/>
              </w:rPr>
            </w:pPr>
            <w:r w:rsidRPr="00AE57E4">
              <w:rPr>
                <w:rFonts w:ascii="Arial" w:hAnsi="Arial" w:cs="Arial"/>
              </w:rPr>
              <w:t xml:space="preserve">Continuing Healthcare funding is only provided whilst a patient is eligible for it. Each Continuing Healthcare patient’s healthcare needs is reviewed on a regular basis. If a patient is reviewed and found to no longer be eligible for Continuing Healthcare, the funding would cease. </w:t>
            </w:r>
          </w:p>
          <w:p w:rsidR="00FE56ED" w:rsidRPr="00AE57E4" w:rsidRDefault="00FE56ED" w:rsidP="00AE57E4">
            <w:pPr>
              <w:spacing w:after="0" w:line="240" w:lineRule="auto"/>
              <w:jc w:val="both"/>
              <w:rPr>
                <w:rFonts w:ascii="Arial" w:hAnsi="Arial" w:cs="Arial"/>
              </w:rPr>
            </w:pPr>
          </w:p>
          <w:p w:rsidR="009221F5" w:rsidRPr="00AE57E4" w:rsidRDefault="00FE56ED" w:rsidP="00AE57E4">
            <w:pPr>
              <w:spacing w:after="0" w:line="240" w:lineRule="auto"/>
              <w:jc w:val="both"/>
              <w:rPr>
                <w:rFonts w:ascii="Arial" w:hAnsi="Arial" w:cs="Arial"/>
              </w:rPr>
            </w:pPr>
            <w:r w:rsidRPr="00AE57E4">
              <w:rPr>
                <w:rFonts w:ascii="Arial" w:hAnsi="Arial" w:cs="Arial"/>
              </w:rPr>
              <w:t xml:space="preserve">In this scenario, the patient may be eligible for alternative funding sources (e.g. Local Authority). NHS Warwickshire </w:t>
            </w:r>
            <w:r w:rsidR="009221F5" w:rsidRPr="00AE57E4">
              <w:rPr>
                <w:rFonts w:ascii="Arial" w:hAnsi="Arial" w:cs="Arial"/>
              </w:rPr>
              <w:t>will support any such patients to arrange their next steps if they become ineligible for Continuing Healthcare funding.</w:t>
            </w:r>
          </w:p>
          <w:p w:rsidR="009221F5" w:rsidRPr="00AE57E4" w:rsidRDefault="009221F5" w:rsidP="00AE57E4">
            <w:pPr>
              <w:spacing w:after="0" w:line="240" w:lineRule="auto"/>
              <w:jc w:val="both"/>
              <w:rPr>
                <w:rFonts w:ascii="Arial" w:hAnsi="Arial" w:cs="Arial"/>
              </w:rPr>
            </w:pPr>
          </w:p>
        </w:tc>
      </w:tr>
      <w:tr w:rsidR="002B2C3E" w:rsidRPr="00AE57E4" w:rsidTr="00AE57E4">
        <w:tc>
          <w:tcPr>
            <w:tcW w:w="534" w:type="dxa"/>
          </w:tcPr>
          <w:p w:rsidR="002B2C3E" w:rsidRPr="00AE57E4" w:rsidRDefault="009221F5" w:rsidP="00AE57E4">
            <w:pPr>
              <w:spacing w:after="0" w:line="240" w:lineRule="auto"/>
              <w:jc w:val="center"/>
              <w:rPr>
                <w:rFonts w:ascii="Arial" w:hAnsi="Arial" w:cs="Arial"/>
                <w:b/>
              </w:rPr>
            </w:pPr>
            <w:r w:rsidRPr="00AE57E4">
              <w:rPr>
                <w:rFonts w:ascii="Arial" w:hAnsi="Arial" w:cs="Arial"/>
                <w:b/>
              </w:rPr>
              <w:t>12</w:t>
            </w: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Q</w:t>
            </w:r>
          </w:p>
        </w:tc>
        <w:tc>
          <w:tcPr>
            <w:tcW w:w="8141" w:type="dxa"/>
          </w:tcPr>
          <w:p w:rsidR="002B2C3E" w:rsidRPr="00AE57E4" w:rsidRDefault="002B2C3E" w:rsidP="00AE57E4">
            <w:pPr>
              <w:spacing w:after="0" w:line="240" w:lineRule="auto"/>
              <w:jc w:val="both"/>
              <w:rPr>
                <w:rFonts w:ascii="Arial" w:hAnsi="Arial" w:cs="Arial"/>
                <w:b/>
              </w:rPr>
            </w:pPr>
            <w:r w:rsidRPr="00AE57E4">
              <w:rPr>
                <w:rFonts w:ascii="Arial" w:hAnsi="Arial" w:cs="Arial"/>
                <w:b/>
              </w:rPr>
              <w:t>Does Continuing Healthcare funding affect my benefits?</w:t>
            </w:r>
          </w:p>
          <w:p w:rsidR="009221F5" w:rsidRPr="00AE57E4" w:rsidRDefault="009221F5" w:rsidP="00AE57E4">
            <w:pPr>
              <w:spacing w:after="0" w:line="240" w:lineRule="auto"/>
              <w:jc w:val="both"/>
              <w:rPr>
                <w:rFonts w:ascii="Arial" w:hAnsi="Arial" w:cs="Arial"/>
                <w:b/>
              </w:rPr>
            </w:pPr>
          </w:p>
        </w:tc>
      </w:tr>
      <w:tr w:rsidR="002B2C3E" w:rsidRPr="00AE57E4" w:rsidTr="00AE57E4">
        <w:tc>
          <w:tcPr>
            <w:tcW w:w="534" w:type="dxa"/>
          </w:tcPr>
          <w:p w:rsidR="002B2C3E" w:rsidRPr="00AE57E4" w:rsidRDefault="002B2C3E" w:rsidP="00AE57E4">
            <w:pPr>
              <w:spacing w:after="0" w:line="240" w:lineRule="auto"/>
              <w:jc w:val="center"/>
              <w:rPr>
                <w:rFonts w:ascii="Arial" w:hAnsi="Arial" w:cs="Arial"/>
                <w:b/>
              </w:rPr>
            </w:pP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A</w:t>
            </w:r>
          </w:p>
        </w:tc>
        <w:tc>
          <w:tcPr>
            <w:tcW w:w="8141" w:type="dxa"/>
          </w:tcPr>
          <w:p w:rsidR="002B2C3E" w:rsidRPr="00AE57E4" w:rsidRDefault="009221F5" w:rsidP="00AE57E4">
            <w:pPr>
              <w:spacing w:after="0" w:line="240" w:lineRule="auto"/>
              <w:jc w:val="both"/>
              <w:rPr>
                <w:rFonts w:ascii="Arial" w:hAnsi="Arial" w:cs="Arial"/>
              </w:rPr>
            </w:pPr>
            <w:r w:rsidRPr="00AE57E4">
              <w:rPr>
                <w:rFonts w:ascii="Arial" w:hAnsi="Arial" w:cs="Arial"/>
              </w:rPr>
              <w:t>Continuing Healthcare funding may affect patient’s benefit entitlements. To get a clear idea of the exact implications on benefits, patients should discuss their situation directly with their benefits agency. In addition, the Department of Health website provides relevant information in on their website “Continuing Healthcare, Other Benefits, and You”. (</w:t>
            </w:r>
            <w:hyperlink r:id="rId7" w:history="1">
              <w:r w:rsidRPr="00AE57E4">
                <w:rPr>
                  <w:rStyle w:val="Hyperlink"/>
                  <w:rFonts w:ascii="Arial" w:hAnsi="Arial" w:cs="Arial"/>
                </w:rPr>
                <w:t>www.dh.gov.uk</w:t>
              </w:r>
            </w:hyperlink>
            <w:r w:rsidRPr="00AE57E4">
              <w:rPr>
                <w:rFonts w:ascii="Arial" w:hAnsi="Arial" w:cs="Arial"/>
              </w:rPr>
              <w:t xml:space="preserve">). </w:t>
            </w:r>
          </w:p>
          <w:p w:rsidR="009221F5" w:rsidRPr="00AE57E4" w:rsidRDefault="009221F5" w:rsidP="00AE57E4">
            <w:pPr>
              <w:spacing w:after="0" w:line="240" w:lineRule="auto"/>
              <w:jc w:val="both"/>
              <w:rPr>
                <w:rFonts w:ascii="Arial" w:hAnsi="Arial" w:cs="Arial"/>
                <w:b/>
              </w:rPr>
            </w:pPr>
          </w:p>
        </w:tc>
      </w:tr>
      <w:tr w:rsidR="002B2C3E" w:rsidRPr="00AE57E4" w:rsidTr="00AE57E4">
        <w:tc>
          <w:tcPr>
            <w:tcW w:w="534" w:type="dxa"/>
          </w:tcPr>
          <w:p w:rsidR="002B2C3E" w:rsidRPr="00AE57E4" w:rsidRDefault="009221F5" w:rsidP="00AE57E4">
            <w:pPr>
              <w:spacing w:after="0" w:line="240" w:lineRule="auto"/>
              <w:jc w:val="center"/>
              <w:rPr>
                <w:rFonts w:ascii="Arial" w:hAnsi="Arial" w:cs="Arial"/>
                <w:b/>
              </w:rPr>
            </w:pPr>
            <w:r w:rsidRPr="00AE57E4">
              <w:rPr>
                <w:rFonts w:ascii="Arial" w:hAnsi="Arial" w:cs="Arial"/>
                <w:b/>
              </w:rPr>
              <w:t>13</w:t>
            </w: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Q</w:t>
            </w:r>
          </w:p>
        </w:tc>
        <w:tc>
          <w:tcPr>
            <w:tcW w:w="8141" w:type="dxa"/>
          </w:tcPr>
          <w:p w:rsidR="002B2C3E" w:rsidRPr="00AE57E4" w:rsidRDefault="002B2C3E" w:rsidP="00AE57E4">
            <w:pPr>
              <w:spacing w:after="0" w:line="240" w:lineRule="auto"/>
              <w:jc w:val="both"/>
              <w:rPr>
                <w:rFonts w:ascii="Arial" w:hAnsi="Arial" w:cs="Arial"/>
                <w:b/>
              </w:rPr>
            </w:pPr>
            <w:r w:rsidRPr="00AE57E4">
              <w:rPr>
                <w:rFonts w:ascii="Arial" w:hAnsi="Arial" w:cs="Arial"/>
                <w:b/>
              </w:rPr>
              <w:t>I live at home and currently receive Direct Payments and/or Independent Living Funding (ILF). Will this be affected?</w:t>
            </w:r>
          </w:p>
          <w:p w:rsidR="009221F5" w:rsidRPr="00AE57E4" w:rsidRDefault="009221F5" w:rsidP="00AE57E4">
            <w:pPr>
              <w:spacing w:after="0" w:line="240" w:lineRule="auto"/>
              <w:jc w:val="both"/>
              <w:rPr>
                <w:rFonts w:ascii="Arial" w:hAnsi="Arial" w:cs="Arial"/>
                <w:b/>
              </w:rPr>
            </w:pPr>
          </w:p>
        </w:tc>
      </w:tr>
      <w:tr w:rsidR="002B2C3E" w:rsidRPr="00AE57E4" w:rsidTr="00AE57E4">
        <w:tc>
          <w:tcPr>
            <w:tcW w:w="534" w:type="dxa"/>
          </w:tcPr>
          <w:p w:rsidR="002B2C3E" w:rsidRPr="00AE57E4" w:rsidRDefault="002B2C3E" w:rsidP="00AE57E4">
            <w:pPr>
              <w:spacing w:after="0" w:line="240" w:lineRule="auto"/>
              <w:jc w:val="center"/>
              <w:rPr>
                <w:rFonts w:ascii="Arial" w:hAnsi="Arial" w:cs="Arial"/>
                <w:b/>
              </w:rPr>
            </w:pP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A</w:t>
            </w:r>
          </w:p>
        </w:tc>
        <w:tc>
          <w:tcPr>
            <w:tcW w:w="8141" w:type="dxa"/>
          </w:tcPr>
          <w:p w:rsidR="009221F5" w:rsidRPr="00AE57E4" w:rsidRDefault="009221F5" w:rsidP="00AE57E4">
            <w:pPr>
              <w:spacing w:after="0" w:line="240" w:lineRule="auto"/>
              <w:jc w:val="both"/>
              <w:rPr>
                <w:rFonts w:ascii="Arial" w:hAnsi="Arial" w:cs="Arial"/>
              </w:rPr>
            </w:pPr>
            <w:r w:rsidRPr="00AE57E4">
              <w:rPr>
                <w:rFonts w:ascii="Arial" w:hAnsi="Arial" w:cs="Arial"/>
              </w:rPr>
              <w:t xml:space="preserve">Yes – as stipulated by the National Framework, NHS Warwickshire are not able to pay Direct Payments for any patient’s care, and cannot enter into a joint package of care for patients to retain their Independent Living Funding. </w:t>
            </w:r>
          </w:p>
          <w:p w:rsidR="009221F5" w:rsidRPr="00AE57E4" w:rsidRDefault="009221F5" w:rsidP="00AE57E4">
            <w:pPr>
              <w:spacing w:after="0" w:line="240" w:lineRule="auto"/>
              <w:jc w:val="both"/>
              <w:rPr>
                <w:rFonts w:ascii="Arial" w:hAnsi="Arial" w:cs="Arial"/>
              </w:rPr>
            </w:pPr>
          </w:p>
          <w:p w:rsidR="009221F5" w:rsidRPr="00AE57E4" w:rsidRDefault="009221F5" w:rsidP="00AE57E4">
            <w:pPr>
              <w:spacing w:after="0" w:line="240" w:lineRule="auto"/>
              <w:jc w:val="both"/>
              <w:rPr>
                <w:rFonts w:ascii="Arial" w:hAnsi="Arial" w:cs="Arial"/>
              </w:rPr>
            </w:pPr>
            <w:r w:rsidRPr="00AE57E4">
              <w:rPr>
                <w:rFonts w:ascii="Arial" w:hAnsi="Arial" w:cs="Arial"/>
              </w:rPr>
              <w:t>(The Department of Health has become aware of the difficulties caused by these limits, and are currently working</w:t>
            </w:r>
            <w:r w:rsidR="00876558">
              <w:rPr>
                <w:rFonts w:ascii="Arial" w:hAnsi="Arial" w:cs="Arial"/>
              </w:rPr>
              <w:t xml:space="preserve"> with NHS Warwickshire</w:t>
            </w:r>
            <w:r w:rsidRPr="00AE57E4">
              <w:rPr>
                <w:rFonts w:ascii="Arial" w:hAnsi="Arial" w:cs="Arial"/>
              </w:rPr>
              <w:t xml:space="preserve"> on a project to overcome this problem. For more information, please research ‘Personal Health Budgets’ on the Department of Health website; </w:t>
            </w:r>
            <w:hyperlink r:id="rId8" w:history="1">
              <w:r w:rsidRPr="00AE57E4">
                <w:rPr>
                  <w:rStyle w:val="Hyperlink"/>
                  <w:rFonts w:ascii="Arial" w:hAnsi="Arial" w:cs="Arial"/>
                </w:rPr>
                <w:t>www.dh.gov.uk</w:t>
              </w:r>
            </w:hyperlink>
            <w:r w:rsidRPr="00AE57E4">
              <w:rPr>
                <w:rFonts w:ascii="Arial" w:hAnsi="Arial" w:cs="Arial"/>
              </w:rPr>
              <w:t>).</w:t>
            </w:r>
          </w:p>
          <w:p w:rsidR="009221F5" w:rsidRPr="00AE57E4" w:rsidRDefault="009221F5" w:rsidP="00AE57E4">
            <w:pPr>
              <w:spacing w:after="0" w:line="240" w:lineRule="auto"/>
              <w:jc w:val="both"/>
              <w:rPr>
                <w:rFonts w:ascii="Arial" w:hAnsi="Arial" w:cs="Arial"/>
                <w:b/>
              </w:rPr>
            </w:pPr>
          </w:p>
        </w:tc>
      </w:tr>
      <w:tr w:rsidR="002B2C3E" w:rsidRPr="00AE57E4" w:rsidTr="00AE57E4">
        <w:tc>
          <w:tcPr>
            <w:tcW w:w="534" w:type="dxa"/>
          </w:tcPr>
          <w:p w:rsidR="002B2C3E" w:rsidRPr="00AE57E4" w:rsidRDefault="009221F5" w:rsidP="00AE57E4">
            <w:pPr>
              <w:spacing w:after="0" w:line="240" w:lineRule="auto"/>
              <w:jc w:val="center"/>
              <w:rPr>
                <w:rFonts w:ascii="Arial" w:hAnsi="Arial" w:cs="Arial"/>
                <w:b/>
              </w:rPr>
            </w:pPr>
            <w:r w:rsidRPr="00AE57E4">
              <w:rPr>
                <w:rFonts w:ascii="Arial" w:hAnsi="Arial" w:cs="Arial"/>
                <w:b/>
              </w:rPr>
              <w:t>14</w:t>
            </w: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Q</w:t>
            </w:r>
          </w:p>
        </w:tc>
        <w:tc>
          <w:tcPr>
            <w:tcW w:w="8141" w:type="dxa"/>
          </w:tcPr>
          <w:p w:rsidR="002B2C3E" w:rsidRPr="00AE57E4" w:rsidRDefault="009221F5" w:rsidP="00AE57E4">
            <w:pPr>
              <w:spacing w:after="0" w:line="240" w:lineRule="auto"/>
              <w:jc w:val="both"/>
              <w:rPr>
                <w:rFonts w:ascii="Arial" w:hAnsi="Arial" w:cs="Arial"/>
                <w:b/>
              </w:rPr>
            </w:pPr>
            <w:r w:rsidRPr="00AE57E4">
              <w:rPr>
                <w:rFonts w:ascii="Arial" w:hAnsi="Arial" w:cs="Arial"/>
                <w:b/>
              </w:rPr>
              <w:t>Can NHS Warwickshire support family members that act as carers for Continuing Healthcare patients with their need for respite?</w:t>
            </w:r>
          </w:p>
          <w:p w:rsidR="009221F5" w:rsidRPr="00AE57E4" w:rsidRDefault="009221F5" w:rsidP="00AE57E4">
            <w:pPr>
              <w:spacing w:after="0" w:line="240" w:lineRule="auto"/>
              <w:jc w:val="both"/>
              <w:rPr>
                <w:rFonts w:ascii="Arial" w:hAnsi="Arial" w:cs="Arial"/>
                <w:b/>
              </w:rPr>
            </w:pPr>
          </w:p>
        </w:tc>
      </w:tr>
      <w:tr w:rsidR="002B2C3E" w:rsidRPr="00AE57E4" w:rsidTr="00AE57E4">
        <w:tc>
          <w:tcPr>
            <w:tcW w:w="534" w:type="dxa"/>
          </w:tcPr>
          <w:p w:rsidR="002B2C3E" w:rsidRPr="00AE57E4" w:rsidRDefault="002B2C3E" w:rsidP="00AE57E4">
            <w:pPr>
              <w:spacing w:after="0" w:line="240" w:lineRule="auto"/>
              <w:jc w:val="center"/>
              <w:rPr>
                <w:rFonts w:ascii="Arial" w:hAnsi="Arial" w:cs="Arial"/>
                <w:b/>
              </w:rPr>
            </w:pPr>
          </w:p>
        </w:tc>
        <w:tc>
          <w:tcPr>
            <w:tcW w:w="567" w:type="dxa"/>
          </w:tcPr>
          <w:p w:rsidR="002B2C3E" w:rsidRPr="00AE57E4" w:rsidRDefault="002B2C3E" w:rsidP="00AE57E4">
            <w:pPr>
              <w:spacing w:after="0" w:line="240" w:lineRule="auto"/>
              <w:jc w:val="center"/>
              <w:rPr>
                <w:rFonts w:ascii="Arial" w:hAnsi="Arial" w:cs="Arial"/>
                <w:b/>
              </w:rPr>
            </w:pPr>
            <w:r w:rsidRPr="00AE57E4">
              <w:rPr>
                <w:rFonts w:ascii="Arial" w:hAnsi="Arial" w:cs="Arial"/>
                <w:b/>
              </w:rPr>
              <w:t>A</w:t>
            </w:r>
          </w:p>
        </w:tc>
        <w:tc>
          <w:tcPr>
            <w:tcW w:w="8141" w:type="dxa"/>
          </w:tcPr>
          <w:p w:rsidR="002B2C3E" w:rsidRPr="00AE57E4" w:rsidRDefault="009221F5" w:rsidP="00AE57E4">
            <w:pPr>
              <w:spacing w:after="0" w:line="240" w:lineRule="auto"/>
              <w:jc w:val="both"/>
              <w:rPr>
                <w:rFonts w:ascii="Arial" w:hAnsi="Arial" w:cs="Arial"/>
              </w:rPr>
            </w:pPr>
            <w:r w:rsidRPr="00AE57E4">
              <w:rPr>
                <w:rFonts w:ascii="Arial" w:hAnsi="Arial" w:cs="Arial"/>
              </w:rPr>
              <w:t xml:space="preserve">NHS Warwickshire will </w:t>
            </w:r>
            <w:r w:rsidR="00876558">
              <w:rPr>
                <w:rFonts w:ascii="Arial" w:hAnsi="Arial" w:cs="Arial"/>
              </w:rPr>
              <w:t>review all requests for respite care</w:t>
            </w:r>
            <w:r w:rsidRPr="00AE57E4">
              <w:rPr>
                <w:rFonts w:ascii="Arial" w:hAnsi="Arial" w:cs="Arial"/>
              </w:rPr>
              <w:t xml:space="preserve"> in line with the Patient Choice and Resource Allocation policy. Each case will be monitored individually, and the carer will be contacted to discuss how NHS Warwickshire can support them. </w:t>
            </w:r>
          </w:p>
        </w:tc>
      </w:tr>
    </w:tbl>
    <w:p w:rsidR="001E2D32" w:rsidRDefault="001E2D32" w:rsidP="00D367F8">
      <w:pPr>
        <w:spacing w:after="0" w:line="240" w:lineRule="auto"/>
        <w:jc w:val="both"/>
        <w:rPr>
          <w:rFonts w:ascii="Arial" w:hAnsi="Arial" w:cs="Arial"/>
          <w:b/>
        </w:rPr>
      </w:pPr>
    </w:p>
    <w:p w:rsidR="00D367F8" w:rsidRDefault="00D367F8" w:rsidP="00D367F8">
      <w:pPr>
        <w:spacing w:after="0" w:line="240" w:lineRule="auto"/>
        <w:jc w:val="both"/>
        <w:rPr>
          <w:rFonts w:ascii="Arial" w:hAnsi="Arial" w:cs="Arial"/>
          <w:b/>
        </w:rPr>
      </w:pPr>
      <w:r>
        <w:rPr>
          <w:rFonts w:ascii="Arial" w:hAnsi="Arial" w:cs="Arial"/>
          <w:b/>
        </w:rPr>
        <w:t>Please notify the Continuing Healthcare team on the above contact details in any of the following circumstances:</w:t>
      </w:r>
    </w:p>
    <w:p w:rsidR="00D367F8" w:rsidRPr="00D367F8" w:rsidRDefault="00D367F8" w:rsidP="00D367F8">
      <w:pPr>
        <w:numPr>
          <w:ilvl w:val="0"/>
          <w:numId w:val="2"/>
        </w:numPr>
        <w:spacing w:after="0" w:line="240" w:lineRule="auto"/>
        <w:jc w:val="both"/>
        <w:rPr>
          <w:rFonts w:ascii="Arial" w:hAnsi="Arial" w:cs="Arial"/>
        </w:rPr>
      </w:pPr>
      <w:r w:rsidRPr="00D367F8">
        <w:rPr>
          <w:rFonts w:ascii="Arial" w:hAnsi="Arial" w:cs="Arial"/>
        </w:rPr>
        <w:t>You move to a new care home</w:t>
      </w:r>
    </w:p>
    <w:p w:rsidR="00D367F8" w:rsidRPr="00D367F8" w:rsidRDefault="00D367F8" w:rsidP="00D367F8">
      <w:pPr>
        <w:numPr>
          <w:ilvl w:val="0"/>
          <w:numId w:val="2"/>
        </w:numPr>
        <w:spacing w:after="0" w:line="240" w:lineRule="auto"/>
        <w:jc w:val="both"/>
        <w:rPr>
          <w:rFonts w:ascii="Arial" w:hAnsi="Arial" w:cs="Arial"/>
        </w:rPr>
      </w:pPr>
      <w:r w:rsidRPr="00D367F8">
        <w:rPr>
          <w:rFonts w:ascii="Arial" w:hAnsi="Arial" w:cs="Arial"/>
        </w:rPr>
        <w:t>You change from a residential placement to a nursing placement (even if it’s within the same care home)</w:t>
      </w:r>
    </w:p>
    <w:p w:rsidR="00D367F8" w:rsidRPr="00D367F8" w:rsidRDefault="00D367F8" w:rsidP="00D367F8">
      <w:pPr>
        <w:numPr>
          <w:ilvl w:val="0"/>
          <w:numId w:val="2"/>
        </w:numPr>
        <w:spacing w:after="0" w:line="240" w:lineRule="auto"/>
        <w:jc w:val="both"/>
        <w:rPr>
          <w:rFonts w:ascii="Arial" w:hAnsi="Arial" w:cs="Arial"/>
        </w:rPr>
      </w:pPr>
      <w:r w:rsidRPr="00D367F8">
        <w:rPr>
          <w:rFonts w:ascii="Arial" w:hAnsi="Arial" w:cs="Arial"/>
        </w:rPr>
        <w:t>You are discharged from a care home</w:t>
      </w:r>
    </w:p>
    <w:p w:rsidR="00D367F8" w:rsidRPr="00D367F8" w:rsidRDefault="00D367F8" w:rsidP="00D367F8">
      <w:pPr>
        <w:numPr>
          <w:ilvl w:val="0"/>
          <w:numId w:val="2"/>
        </w:numPr>
        <w:spacing w:after="0" w:line="240" w:lineRule="auto"/>
        <w:jc w:val="both"/>
        <w:rPr>
          <w:rFonts w:ascii="Arial" w:hAnsi="Arial" w:cs="Arial"/>
        </w:rPr>
      </w:pPr>
      <w:r w:rsidRPr="00D367F8">
        <w:rPr>
          <w:rFonts w:ascii="Arial" w:hAnsi="Arial" w:cs="Arial"/>
        </w:rPr>
        <w:t>There is a change in your health needs</w:t>
      </w:r>
    </w:p>
    <w:sectPr w:rsidR="00D367F8" w:rsidRPr="00D367F8" w:rsidSect="00871981">
      <w:headerReference w:type="default" r:id="rId9"/>
      <w:pgSz w:w="11906" w:h="16838"/>
      <w:pgMar w:top="198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F0F" w:rsidRDefault="00402F0F" w:rsidP="00D37D92">
      <w:pPr>
        <w:spacing w:after="0" w:line="240" w:lineRule="auto"/>
      </w:pPr>
      <w:r>
        <w:separator/>
      </w:r>
    </w:p>
  </w:endnote>
  <w:endnote w:type="continuationSeparator" w:id="1">
    <w:p w:rsidR="00402F0F" w:rsidRDefault="00402F0F" w:rsidP="00D37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F0F" w:rsidRDefault="00402F0F" w:rsidP="00D37D92">
      <w:pPr>
        <w:spacing w:after="0" w:line="240" w:lineRule="auto"/>
      </w:pPr>
      <w:r>
        <w:separator/>
      </w:r>
    </w:p>
  </w:footnote>
  <w:footnote w:type="continuationSeparator" w:id="1">
    <w:p w:rsidR="00402F0F" w:rsidRDefault="00402F0F" w:rsidP="00D37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C6" w:rsidRDefault="00096DC6" w:rsidP="00096DC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http://nww.warwickshireourspace.nhs.uk/_layouts/1033/NHSW/images/header-logo.png" style="position:absolute;margin-left:363.5pt;margin-top:-11.25pt;width:112.45pt;height:46.85pt;z-index:-251658752;visibility:visible" wrapcoords="-222 0 -222 21316 21533 21316 21533 0 -222 0">
          <v:imagedata r:id="rId1" o:title="header-logo" croptop="9945f" cropbottom="24760f" cropleft="19660f"/>
          <w10:wrap type="tight"/>
        </v:shape>
      </w:pict>
    </w:r>
  </w:p>
  <w:p w:rsidR="00096DC6" w:rsidRDefault="00096DC6" w:rsidP="00096DC6">
    <w:pPr>
      <w:spacing w:after="0" w:line="240" w:lineRule="auto"/>
      <w:ind w:left="-425" w:right="-471"/>
      <w:jc w:val="right"/>
      <w:rPr>
        <w:rFonts w:ascii="Arial" w:hAnsi="Arial" w:cs="Arial"/>
        <w:sz w:val="20"/>
        <w:szCs w:val="20"/>
      </w:rPr>
    </w:pPr>
  </w:p>
  <w:p w:rsidR="00096DC6" w:rsidRPr="00053A4E" w:rsidRDefault="00096DC6" w:rsidP="00096DC6">
    <w:pPr>
      <w:spacing w:after="0" w:line="240" w:lineRule="auto"/>
      <w:ind w:left="-425" w:right="-471"/>
      <w:jc w:val="right"/>
      <w:rPr>
        <w:rFonts w:ascii="Arial" w:hAnsi="Arial" w:cs="Arial"/>
        <w:sz w:val="20"/>
        <w:szCs w:val="20"/>
      </w:rPr>
    </w:pPr>
    <w:r>
      <w:rPr>
        <w:rFonts w:ascii="Arial" w:hAnsi="Arial" w:cs="Arial"/>
        <w:sz w:val="20"/>
        <w:szCs w:val="20"/>
      </w:rPr>
      <w:t xml:space="preserve">NHS Warwickshire Continuing Healthcare </w:t>
    </w:r>
    <w:r w:rsidRPr="00053A4E">
      <w:rPr>
        <w:rFonts w:ascii="Arial" w:hAnsi="Arial" w:cs="Arial"/>
        <w:sz w:val="20"/>
        <w:szCs w:val="20"/>
      </w:rPr>
      <w:t>Team</w:t>
    </w:r>
  </w:p>
  <w:p w:rsidR="00096DC6" w:rsidRPr="00053A4E" w:rsidRDefault="00096DC6" w:rsidP="00096DC6">
    <w:pPr>
      <w:spacing w:after="0" w:line="240" w:lineRule="auto"/>
      <w:ind w:left="-425" w:right="-471"/>
      <w:jc w:val="right"/>
      <w:rPr>
        <w:rFonts w:ascii="Arial" w:hAnsi="Arial" w:cs="Arial"/>
        <w:sz w:val="20"/>
        <w:szCs w:val="20"/>
      </w:rPr>
    </w:pPr>
    <w:r w:rsidRPr="00053A4E">
      <w:rPr>
        <w:rFonts w:ascii="Arial" w:hAnsi="Arial" w:cs="Arial"/>
        <w:sz w:val="20"/>
        <w:szCs w:val="20"/>
      </w:rPr>
      <w:t>Westgate House</w:t>
    </w:r>
  </w:p>
  <w:p w:rsidR="00096DC6" w:rsidRPr="00053A4E" w:rsidRDefault="00096DC6" w:rsidP="00096DC6">
    <w:pPr>
      <w:spacing w:after="0" w:line="240" w:lineRule="auto"/>
      <w:ind w:left="-425" w:right="-471"/>
      <w:jc w:val="right"/>
      <w:rPr>
        <w:rFonts w:ascii="Arial" w:hAnsi="Arial" w:cs="Arial"/>
        <w:sz w:val="20"/>
        <w:szCs w:val="20"/>
      </w:rPr>
    </w:pPr>
    <w:r w:rsidRPr="00053A4E">
      <w:rPr>
        <w:rFonts w:ascii="Arial" w:hAnsi="Arial" w:cs="Arial"/>
        <w:sz w:val="20"/>
        <w:szCs w:val="20"/>
      </w:rPr>
      <w:t>Market Street</w:t>
    </w:r>
  </w:p>
  <w:p w:rsidR="00096DC6" w:rsidRPr="00053A4E" w:rsidRDefault="00096DC6" w:rsidP="00096DC6">
    <w:pPr>
      <w:spacing w:after="0" w:line="240" w:lineRule="auto"/>
      <w:ind w:left="-425" w:right="-471"/>
      <w:jc w:val="right"/>
      <w:rPr>
        <w:rFonts w:ascii="Arial" w:hAnsi="Arial" w:cs="Arial"/>
        <w:sz w:val="20"/>
        <w:szCs w:val="20"/>
      </w:rPr>
    </w:pPr>
    <w:r w:rsidRPr="00053A4E">
      <w:rPr>
        <w:rFonts w:ascii="Arial" w:hAnsi="Arial" w:cs="Arial"/>
        <w:sz w:val="20"/>
        <w:szCs w:val="20"/>
      </w:rPr>
      <w:t>Warwick</w:t>
    </w:r>
  </w:p>
  <w:p w:rsidR="00096DC6" w:rsidRPr="00053A4E" w:rsidRDefault="00096DC6" w:rsidP="00096DC6">
    <w:pPr>
      <w:spacing w:after="0" w:line="240" w:lineRule="auto"/>
      <w:ind w:left="-425" w:right="-471"/>
      <w:jc w:val="right"/>
      <w:rPr>
        <w:rFonts w:ascii="Arial" w:hAnsi="Arial" w:cs="Arial"/>
        <w:sz w:val="20"/>
        <w:szCs w:val="20"/>
      </w:rPr>
    </w:pPr>
    <w:r w:rsidRPr="00053A4E">
      <w:rPr>
        <w:rFonts w:ascii="Arial" w:hAnsi="Arial" w:cs="Arial"/>
        <w:sz w:val="20"/>
        <w:szCs w:val="20"/>
      </w:rPr>
      <w:t>CV34 4DE</w:t>
    </w:r>
  </w:p>
  <w:p w:rsidR="00096DC6" w:rsidRPr="00053A4E" w:rsidRDefault="00096DC6" w:rsidP="00096DC6">
    <w:pPr>
      <w:spacing w:after="0" w:line="240" w:lineRule="auto"/>
      <w:ind w:left="-425" w:right="-471"/>
      <w:jc w:val="right"/>
      <w:rPr>
        <w:rFonts w:ascii="Arial" w:hAnsi="Arial" w:cs="Arial"/>
        <w:sz w:val="20"/>
        <w:szCs w:val="20"/>
      </w:rPr>
    </w:pPr>
    <w:r>
      <w:rPr>
        <w:rFonts w:ascii="Arial" w:hAnsi="Arial" w:cs="Arial"/>
        <w:sz w:val="20"/>
        <w:szCs w:val="20"/>
      </w:rPr>
      <w:t>Tel: 01926 478125</w:t>
    </w:r>
  </w:p>
  <w:p w:rsidR="009221F5" w:rsidRDefault="009221F5" w:rsidP="00D37D92">
    <w:pPr>
      <w:spacing w:after="0" w:line="240" w:lineRule="auto"/>
      <w:ind w:left="-425" w:right="-471"/>
      <w:jc w:val="right"/>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C08AD"/>
    <w:multiLevelType w:val="hybridMultilevel"/>
    <w:tmpl w:val="1E9C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0A72C1"/>
    <w:multiLevelType w:val="hybridMultilevel"/>
    <w:tmpl w:val="354C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hdrShapeDefaults>
    <o:shapedefaults v:ext="edit" spidmax="3074">
      <o:colormenu v:ext="edit" strokecolor="none [1629]"/>
    </o:shapedefaults>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5C72"/>
    <w:rsid w:val="000171E5"/>
    <w:rsid w:val="000509C0"/>
    <w:rsid w:val="00096DC6"/>
    <w:rsid w:val="000C2568"/>
    <w:rsid w:val="00174B24"/>
    <w:rsid w:val="00196D21"/>
    <w:rsid w:val="001D70B8"/>
    <w:rsid w:val="001E2D32"/>
    <w:rsid w:val="002168AD"/>
    <w:rsid w:val="00225BFE"/>
    <w:rsid w:val="002973F4"/>
    <w:rsid w:val="002B2C3E"/>
    <w:rsid w:val="002D647D"/>
    <w:rsid w:val="00340626"/>
    <w:rsid w:val="00385F3A"/>
    <w:rsid w:val="003923CE"/>
    <w:rsid w:val="003A3038"/>
    <w:rsid w:val="00402F0F"/>
    <w:rsid w:val="004309BD"/>
    <w:rsid w:val="0044668F"/>
    <w:rsid w:val="006247A2"/>
    <w:rsid w:val="00673483"/>
    <w:rsid w:val="0068111F"/>
    <w:rsid w:val="007B7E4E"/>
    <w:rsid w:val="007E5FEC"/>
    <w:rsid w:val="00871981"/>
    <w:rsid w:val="008737E2"/>
    <w:rsid w:val="00876558"/>
    <w:rsid w:val="009221F5"/>
    <w:rsid w:val="00927A89"/>
    <w:rsid w:val="009663D7"/>
    <w:rsid w:val="00985386"/>
    <w:rsid w:val="00990A4E"/>
    <w:rsid w:val="009D6F15"/>
    <w:rsid w:val="009E0AB3"/>
    <w:rsid w:val="00A47857"/>
    <w:rsid w:val="00AE57E4"/>
    <w:rsid w:val="00AE7D88"/>
    <w:rsid w:val="00B27EC2"/>
    <w:rsid w:val="00B851E6"/>
    <w:rsid w:val="00BE33BD"/>
    <w:rsid w:val="00BE7960"/>
    <w:rsid w:val="00D367F8"/>
    <w:rsid w:val="00D37D92"/>
    <w:rsid w:val="00D51E93"/>
    <w:rsid w:val="00D55C72"/>
    <w:rsid w:val="00D71C7B"/>
    <w:rsid w:val="00DE7C0E"/>
    <w:rsid w:val="00E00D7B"/>
    <w:rsid w:val="00E02388"/>
    <w:rsid w:val="00E04B23"/>
    <w:rsid w:val="00E302A3"/>
    <w:rsid w:val="00EF1AE0"/>
    <w:rsid w:val="00F56609"/>
    <w:rsid w:val="00F711A9"/>
    <w:rsid w:val="00F81027"/>
    <w:rsid w:val="00F95AFA"/>
    <w:rsid w:val="00FC49F4"/>
    <w:rsid w:val="00FE56E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16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paragraph" w:styleId="Header">
    <w:name w:val="header"/>
    <w:basedOn w:val="Normal"/>
    <w:link w:val="HeaderChar"/>
    <w:uiPriority w:val="99"/>
    <w:unhideWhenUsed/>
    <w:rsid w:val="00D37D92"/>
    <w:pPr>
      <w:tabs>
        <w:tab w:val="center" w:pos="4513"/>
        <w:tab w:val="right" w:pos="9026"/>
      </w:tabs>
    </w:pPr>
  </w:style>
  <w:style w:type="character" w:customStyle="1" w:styleId="HeaderChar">
    <w:name w:val="Header Char"/>
    <w:basedOn w:val="DefaultParagraphFont"/>
    <w:link w:val="Header"/>
    <w:uiPriority w:val="99"/>
    <w:rsid w:val="00D37D92"/>
    <w:rPr>
      <w:sz w:val="22"/>
      <w:szCs w:val="22"/>
      <w:lang w:eastAsia="en-US"/>
    </w:rPr>
  </w:style>
  <w:style w:type="paragraph" w:styleId="Footer">
    <w:name w:val="footer"/>
    <w:basedOn w:val="Normal"/>
    <w:link w:val="FooterChar"/>
    <w:uiPriority w:val="99"/>
    <w:semiHidden/>
    <w:unhideWhenUsed/>
    <w:rsid w:val="00D37D92"/>
    <w:pPr>
      <w:tabs>
        <w:tab w:val="center" w:pos="4513"/>
        <w:tab w:val="right" w:pos="9026"/>
      </w:tabs>
    </w:pPr>
  </w:style>
  <w:style w:type="character" w:customStyle="1" w:styleId="FooterChar">
    <w:name w:val="Footer Char"/>
    <w:basedOn w:val="DefaultParagraphFont"/>
    <w:link w:val="Footer"/>
    <w:uiPriority w:val="99"/>
    <w:semiHidden/>
    <w:rsid w:val="00D37D92"/>
    <w:rPr>
      <w:sz w:val="22"/>
      <w:szCs w:val="22"/>
      <w:lang w:eastAsia="en-US"/>
    </w:rPr>
  </w:style>
  <w:style w:type="character" w:styleId="Hyperlink">
    <w:name w:val="Hyperlink"/>
    <w:basedOn w:val="DefaultParagraphFont"/>
    <w:uiPriority w:val="99"/>
    <w:unhideWhenUsed/>
    <w:rsid w:val="000171E5"/>
    <w:rPr>
      <w:color w:val="0000FF"/>
      <w:u w:val="single"/>
    </w:rPr>
  </w:style>
  <w:style w:type="table" w:styleId="TableGrid">
    <w:name w:val="Table Grid"/>
    <w:basedOn w:val="TableNormal"/>
    <w:uiPriority w:val="59"/>
    <w:rsid w:val="002B2C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gov.uk" TargetMode="External"/><Relationship Id="rId3" Type="http://schemas.openxmlformats.org/officeDocument/2006/relationships/settings" Target="settings.xml"/><Relationship Id="rId7" Type="http://schemas.openxmlformats.org/officeDocument/2006/relationships/hyperlink" Target="http://www.d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7371</CharactersWithSpaces>
  <SharedDoc>false</SharedDoc>
  <HLinks>
    <vt:vector size="12" baseType="variant">
      <vt:variant>
        <vt:i4>4915292</vt:i4>
      </vt:variant>
      <vt:variant>
        <vt:i4>3</vt:i4>
      </vt:variant>
      <vt:variant>
        <vt:i4>0</vt:i4>
      </vt:variant>
      <vt:variant>
        <vt:i4>5</vt:i4>
      </vt:variant>
      <vt:variant>
        <vt:lpwstr>http://www.dh.gov.uk/</vt:lpwstr>
      </vt:variant>
      <vt:variant>
        <vt:lpwstr/>
      </vt:variant>
      <vt:variant>
        <vt:i4>4915292</vt:i4>
      </vt:variant>
      <vt:variant>
        <vt:i4>0</vt:i4>
      </vt:variant>
      <vt:variant>
        <vt:i4>0</vt:i4>
      </vt:variant>
      <vt:variant>
        <vt:i4>5</vt:i4>
      </vt:variant>
      <vt:variant>
        <vt:lpwstr>http://www.dh.gov.uk/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swnasoa</dc:creator>
  <cp:keywords/>
  <dc:description/>
  <cp:lastModifiedBy>swwhith</cp:lastModifiedBy>
  <cp:revision>2</cp:revision>
  <cp:lastPrinted>2011-10-10T15:56:00Z</cp:lastPrinted>
  <dcterms:created xsi:type="dcterms:W3CDTF">2012-08-07T13:50:00Z</dcterms:created>
  <dcterms:modified xsi:type="dcterms:W3CDTF">2012-08-07T13:50:00Z</dcterms:modified>
</cp:coreProperties>
</file>