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6A" w:rsidRDefault="00AC786A" w:rsidP="00AC786A">
      <w:pPr>
        <w:shd w:val="clear" w:color="auto" w:fill="FFFFFF"/>
        <w:ind w:left="-360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 xml:space="preserve">Further information from NICE pertaining to PH38 </w:t>
      </w:r>
      <w:hyperlink r:id="rId5" w:history="1">
        <w:r>
          <w:rPr>
            <w:rStyle w:val="Hyperlink"/>
            <w:rFonts w:ascii="Arial" w:hAnsi="Arial" w:cs="Arial"/>
            <w:b/>
            <w:bCs/>
            <w:color w:val="11527C"/>
            <w:sz w:val="18"/>
            <w:szCs w:val="18"/>
          </w:rPr>
          <w:t>Preventing type 2 diabetes: risk identification and interventions for individuals at high risk</w:t>
        </w:r>
      </w:hyperlink>
    </w:p>
    <w:p w:rsidR="00AC786A" w:rsidRDefault="00AC786A" w:rsidP="00AC786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A4A4A"/>
          <w:sz w:val="20"/>
          <w:szCs w:val="20"/>
        </w:rPr>
      </w:pPr>
      <w:r>
        <w:rPr>
          <w:rFonts w:ascii="Arial" w:hAnsi="Arial" w:cs="Arial"/>
          <w:b/>
          <w:bCs/>
          <w:color w:val="4A4A4A"/>
          <w:sz w:val="20"/>
          <w:szCs w:val="20"/>
        </w:rPr>
        <w:t>Public health guidance, PH38 - Issued: 12</w:t>
      </w:r>
      <w:r>
        <w:rPr>
          <w:rFonts w:ascii="Arial" w:hAnsi="Arial" w:cs="Arial"/>
          <w:b/>
          <w:bCs/>
          <w:color w:val="4A4A4A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4A4A4A"/>
          <w:sz w:val="20"/>
          <w:szCs w:val="20"/>
        </w:rPr>
        <w:t>July 2012  </w:t>
      </w:r>
    </w:p>
    <w:p w:rsidR="00AC786A" w:rsidRDefault="00AC786A" w:rsidP="00AC786A">
      <w:pPr>
        <w:shd w:val="clear" w:color="auto" w:fill="FFFFFF"/>
        <w:spacing w:line="306" w:lineRule="atLeast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This guidance is for everyone who is involved identifying people at high risk of type 2 diabetes and in preventing or delaying its onset</w:t>
      </w:r>
      <w:proofErr w:type="gramStart"/>
      <w:r>
        <w:rPr>
          <w:rFonts w:ascii="Arial" w:hAnsi="Arial" w:cs="Arial"/>
          <w:color w:val="4A4A4A"/>
          <w:sz w:val="20"/>
          <w:szCs w:val="20"/>
        </w:rPr>
        <w:t>..</w:t>
      </w:r>
      <w:proofErr w:type="gramEnd"/>
      <w:r>
        <w:rPr>
          <w:rFonts w:ascii="Arial" w:hAnsi="Arial" w:cs="Arial"/>
          <w:color w:val="4A4A4A"/>
          <w:sz w:val="20"/>
          <w:szCs w:val="20"/>
        </w:rPr>
        <w:t xml:space="preserve"> This includes GPs, nurses and other health professionals, as well as commissioners and managers within the NHS, local authorities and the wider public, private, voluntary and community sectors.</w:t>
      </w:r>
    </w:p>
    <w:p w:rsidR="00AC786A" w:rsidRDefault="00AC786A" w:rsidP="00AC786A">
      <w:pPr>
        <w:shd w:val="clear" w:color="auto" w:fill="FFFFFF"/>
        <w:spacing w:line="306" w:lineRule="atLeast"/>
        <w:rPr>
          <w:rFonts w:ascii="Arial" w:hAnsi="Arial" w:cs="Arial"/>
          <w:color w:val="4A4A4A"/>
          <w:sz w:val="20"/>
          <w:szCs w:val="20"/>
        </w:rPr>
      </w:pPr>
    </w:p>
    <w:p w:rsidR="00AC786A" w:rsidRDefault="00AC786A" w:rsidP="00AC786A">
      <w:pPr>
        <w:shd w:val="clear" w:color="auto" w:fill="FFFFFF"/>
        <w:spacing w:line="306" w:lineRule="atLeast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It is also for pharmacists, occupational health specialists, optical practitioners,</w:t>
      </w:r>
      <w:proofErr w:type="gramStart"/>
      <w:r>
        <w:rPr>
          <w:rFonts w:ascii="Arial" w:hAnsi="Arial" w:cs="Arial"/>
          <w:color w:val="4A4A4A"/>
          <w:sz w:val="20"/>
          <w:szCs w:val="20"/>
        </w:rPr>
        <w:t>  those</w:t>
      </w:r>
      <w:proofErr w:type="gramEnd"/>
      <w:r>
        <w:rPr>
          <w:rFonts w:ascii="Arial" w:hAnsi="Arial" w:cs="Arial"/>
          <w:color w:val="4A4A4A"/>
          <w:sz w:val="20"/>
          <w:szCs w:val="20"/>
        </w:rPr>
        <w:t xml:space="preserve"> involved in the NHS Health Check programme and all those who deliver dietary, physical activity and weight management services.  </w:t>
      </w:r>
    </w:p>
    <w:p w:rsidR="00AC786A" w:rsidRDefault="00AC786A" w:rsidP="00AC786A">
      <w:pPr>
        <w:shd w:val="clear" w:color="auto" w:fill="FFFFFF"/>
        <w:spacing w:line="306" w:lineRule="atLeast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In addition, it may be of interest to people at high risk of developing type </w:t>
      </w:r>
      <w:proofErr w:type="gramStart"/>
      <w:r>
        <w:rPr>
          <w:rFonts w:ascii="Arial" w:hAnsi="Arial" w:cs="Arial"/>
          <w:color w:val="4A4A4A"/>
          <w:sz w:val="20"/>
          <w:szCs w:val="20"/>
        </w:rPr>
        <w:t>2 diabetes, their families and other members of the public</w:t>
      </w:r>
      <w:proofErr w:type="gramEnd"/>
      <w:r>
        <w:rPr>
          <w:rFonts w:ascii="Arial" w:hAnsi="Arial" w:cs="Arial"/>
          <w:color w:val="4A4A4A"/>
          <w:sz w:val="20"/>
          <w:szCs w:val="20"/>
        </w:rPr>
        <w:t>.</w:t>
      </w:r>
    </w:p>
    <w:p w:rsidR="00AC786A" w:rsidRDefault="00AC786A" w:rsidP="00AC786A">
      <w:pPr>
        <w:shd w:val="clear" w:color="auto" w:fill="FFFFFF"/>
        <w:spacing w:line="306" w:lineRule="atLeast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The guidance is not advocating a national screening programme for type 2 </w:t>
      </w:r>
      <w:proofErr w:type="gramStart"/>
      <w:r>
        <w:rPr>
          <w:rFonts w:ascii="Arial" w:hAnsi="Arial" w:cs="Arial"/>
          <w:color w:val="4A4A4A"/>
          <w:sz w:val="20"/>
          <w:szCs w:val="20"/>
        </w:rPr>
        <w:t>diabetes,</w:t>
      </w:r>
      <w:proofErr w:type="gramEnd"/>
      <w:r>
        <w:rPr>
          <w:rFonts w:ascii="Arial" w:hAnsi="Arial" w:cs="Arial"/>
          <w:color w:val="4A4A4A"/>
          <w:sz w:val="20"/>
          <w:szCs w:val="20"/>
        </w:rPr>
        <w:t xml:space="preserve"> rather the recommendations remind practitioners that age is no barrier to being at high risk of, or developing, type 2 diabetes. The 20 recommendations can be used alongside the NHS Health Check programme.</w:t>
      </w:r>
    </w:p>
    <w:p w:rsidR="00AC786A" w:rsidRDefault="00AC786A" w:rsidP="00AC786A">
      <w:pPr>
        <w:shd w:val="clear" w:color="auto" w:fill="FFFFFF"/>
        <w:spacing w:line="306" w:lineRule="atLeast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They cover: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risk assessment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risk identification (stages 1 and 2)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reassessing risk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matching interventions to risk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commissioning risk assessment and intensive lifestyle-change programmes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providing intensive lifestyle-change programmes: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physical activity: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awareness-raising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providing tailored advice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weight management and dietary advice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vulnerable groups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training and professional development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0"/>
          <w:szCs w:val="20"/>
        </w:rPr>
      </w:pPr>
      <w:proofErr w:type="spellStart"/>
      <w:r>
        <w:rPr>
          <w:rFonts w:ascii="Arial" w:hAnsi="Arial" w:cs="Arial"/>
          <w:color w:val="4A4A4A"/>
          <w:sz w:val="20"/>
          <w:szCs w:val="20"/>
        </w:rPr>
        <w:t>metformin</w:t>
      </w:r>
      <w:proofErr w:type="spellEnd"/>
      <w:r>
        <w:rPr>
          <w:rFonts w:ascii="Arial" w:hAnsi="Arial" w:cs="Arial"/>
          <w:color w:val="4A4A4A"/>
          <w:sz w:val="20"/>
          <w:szCs w:val="20"/>
        </w:rPr>
        <w:t xml:space="preserve"> </w:t>
      </w:r>
    </w:p>
    <w:p w:rsidR="00AC786A" w:rsidRDefault="00AC786A" w:rsidP="00AC78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18"/>
          <w:szCs w:val="18"/>
        </w:rPr>
      </w:pPr>
      <w:proofErr w:type="spellStart"/>
      <w:r>
        <w:rPr>
          <w:rFonts w:ascii="Arial" w:hAnsi="Arial" w:cs="Arial"/>
          <w:color w:val="4A4A4A"/>
          <w:sz w:val="18"/>
          <w:szCs w:val="18"/>
        </w:rPr>
        <w:t>orlistat</w:t>
      </w:r>
      <w:proofErr w:type="spellEnd"/>
      <w:r>
        <w:rPr>
          <w:rFonts w:ascii="Arial" w:hAnsi="Arial" w:cs="Arial"/>
          <w:color w:val="4A4A4A"/>
          <w:sz w:val="18"/>
          <w:szCs w:val="18"/>
        </w:rPr>
        <w:t xml:space="preserve"> </w:t>
      </w:r>
    </w:p>
    <w:p w:rsidR="00AC786A" w:rsidRDefault="00AC786A" w:rsidP="00AC786A">
      <w:pPr>
        <w:shd w:val="clear" w:color="auto" w:fill="FFFFFF"/>
        <w:spacing w:before="190" w:after="109" w:line="272" w:lineRule="atLeast"/>
        <w:ind w:left="-360"/>
        <w:rPr>
          <w:rFonts w:ascii="Arial" w:hAnsi="Arial" w:cs="Arial"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 xml:space="preserve">Other information Ctrl &amp; Click hyperlink to access </w:t>
      </w:r>
      <w:hyperlink r:id="rId6" w:tgtFrame="_self" w:history="1">
        <w:r>
          <w:rPr>
            <w:rStyle w:val="Hyperlink"/>
            <w:rFonts w:ascii="Arial" w:hAnsi="Arial" w:cs="Arial"/>
            <w:b/>
            <w:bCs/>
            <w:color w:val="11527C"/>
            <w:sz w:val="18"/>
            <w:szCs w:val="18"/>
          </w:rPr>
          <w:t>Preventing type 2 diabetes - risk identification and interventions for individuals at high risk: guidance (web format)</w:t>
        </w:r>
      </w:hyperlink>
      <w:r>
        <w:rPr>
          <w:rFonts w:ascii="Arial" w:hAnsi="Arial" w:cs="Arial"/>
          <w:color w:val="4A4A4A"/>
          <w:sz w:val="18"/>
          <w:szCs w:val="18"/>
        </w:rPr>
        <w:t xml:space="preserve"> </w:t>
      </w:r>
    </w:p>
    <w:p w:rsidR="00AC786A" w:rsidRDefault="00AC786A" w:rsidP="00AC786A">
      <w:pPr>
        <w:pStyle w:val="Heading4"/>
        <w:shd w:val="clear" w:color="auto" w:fill="FFFFFF"/>
        <w:spacing w:line="272" w:lineRule="atLeast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>NICE Pathways</w:t>
      </w:r>
    </w:p>
    <w:p w:rsidR="00AC786A" w:rsidRDefault="00AC786A" w:rsidP="00AC786A">
      <w:pPr>
        <w:shd w:val="clear" w:color="auto" w:fill="FFFFFF"/>
        <w:spacing w:line="306" w:lineRule="atLeast"/>
        <w:rPr>
          <w:rFonts w:ascii="Arial" w:hAnsi="Arial" w:cs="Arial"/>
          <w:color w:val="4A4A4A"/>
          <w:sz w:val="18"/>
          <w:szCs w:val="18"/>
        </w:rPr>
      </w:pPr>
      <w:r>
        <w:rPr>
          <w:rFonts w:ascii="Arial" w:hAnsi="Arial" w:cs="Arial"/>
          <w:color w:val="4A4A4A"/>
          <w:sz w:val="18"/>
          <w:szCs w:val="18"/>
        </w:rPr>
        <w:t>This guidance has been incorporated into the following NICE Pathways, along with other related guidance and products.</w:t>
      </w:r>
    </w:p>
    <w:p w:rsidR="00AC786A" w:rsidRDefault="00AC786A" w:rsidP="00AC786A">
      <w:pPr>
        <w:shd w:val="clear" w:color="auto" w:fill="FFFFFF"/>
        <w:spacing w:line="306" w:lineRule="atLeast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18"/>
          <w:szCs w:val="18"/>
        </w:rPr>
        <w:t xml:space="preserve">Visit the NICE </w:t>
      </w:r>
      <w:proofErr w:type="spellStart"/>
      <w:r>
        <w:rPr>
          <w:rFonts w:ascii="Arial" w:hAnsi="Arial" w:cs="Arial"/>
          <w:color w:val="4A4A4A"/>
          <w:sz w:val="18"/>
          <w:szCs w:val="18"/>
        </w:rPr>
        <w:t>Pathway</w:t>
      </w:r>
      <w:proofErr w:type="gramStart"/>
      <w:r>
        <w:rPr>
          <w:rFonts w:ascii="Arial" w:hAnsi="Arial" w:cs="Arial"/>
          <w:color w:val="4A4A4A"/>
          <w:sz w:val="18"/>
          <w:szCs w:val="18"/>
        </w:rPr>
        <w:t>:Ctrl</w:t>
      </w:r>
      <w:proofErr w:type="spellEnd"/>
      <w:proofErr w:type="gramEnd"/>
      <w:r>
        <w:rPr>
          <w:rFonts w:ascii="Arial" w:hAnsi="Arial" w:cs="Arial"/>
          <w:color w:val="4A4A4A"/>
          <w:sz w:val="18"/>
          <w:szCs w:val="18"/>
        </w:rPr>
        <w:t xml:space="preserve"> &amp; Click hyperlink to access</w:t>
      </w:r>
      <w:r>
        <w:rPr>
          <w:rFonts w:ascii="Arial" w:hAnsi="Arial" w:cs="Arial"/>
          <w:color w:val="4A4A4A"/>
          <w:sz w:val="20"/>
          <w:szCs w:val="20"/>
        </w:rPr>
        <w:t xml:space="preserve">  </w:t>
      </w:r>
      <w:hyperlink r:id="rId7" w:history="1">
        <w:r>
          <w:rPr>
            <w:rStyle w:val="Hyperlink"/>
            <w:rFonts w:ascii="Arial" w:hAnsi="Arial" w:cs="Arial"/>
            <w:b/>
            <w:bCs/>
            <w:color w:val="11527C"/>
            <w:sz w:val="20"/>
            <w:szCs w:val="20"/>
          </w:rPr>
          <w:t>preventing type 2 diabetes</w:t>
        </w:r>
      </w:hyperlink>
    </w:p>
    <w:p w:rsidR="00AC786A" w:rsidRDefault="00AC786A" w:rsidP="00AC786A">
      <w:pPr>
        <w:rPr>
          <w:rFonts w:ascii="Arial" w:hAnsi="Arial" w:cs="Arial"/>
          <w:color w:val="000080"/>
          <w:sz w:val="20"/>
          <w:szCs w:val="20"/>
        </w:rPr>
      </w:pPr>
    </w:p>
    <w:p w:rsidR="00AC786A" w:rsidRDefault="00AC786A" w:rsidP="00AC786A">
      <w:pPr>
        <w:rPr>
          <w:rFonts w:ascii="Arial" w:hAnsi="Arial" w:cs="Arial"/>
          <w:color w:val="000080"/>
          <w:sz w:val="20"/>
          <w:szCs w:val="20"/>
        </w:rPr>
      </w:pPr>
    </w:p>
    <w:p w:rsidR="0003752E" w:rsidRDefault="0003752E"/>
    <w:sectPr w:rsidR="0003752E" w:rsidSect="0003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D54"/>
    <w:multiLevelType w:val="hybridMultilevel"/>
    <w:tmpl w:val="267810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86A"/>
    <w:rsid w:val="0003752E"/>
    <w:rsid w:val="00AC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6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C786A"/>
    <w:pPr>
      <w:spacing w:before="136" w:after="54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C786A"/>
    <w:rPr>
      <w:rFonts w:ascii="Times New Roman" w:hAnsi="Times New Roman" w:cs="Times New Roman"/>
      <w:b/>
      <w:bCs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C7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thways.nice.org.uk/pathways/preventing-type-2-diabe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e.org.uk/_gs/link/?id=75F860F7-BA62-25E0-0FE7114581CCFCFE" TargetMode="External"/><Relationship Id="rId5" Type="http://schemas.openxmlformats.org/officeDocument/2006/relationships/hyperlink" Target="http://publications.nice.org.uk/preventing-type-2-diabetes-risk-identification-and-interventions-for-individuals-at-high-risk-ph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NHS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swwhith</dc:creator>
  <cp:keywords/>
  <dc:description/>
  <cp:lastModifiedBy>swwhith</cp:lastModifiedBy>
  <cp:revision>1</cp:revision>
  <dcterms:created xsi:type="dcterms:W3CDTF">2012-07-16T07:56:00Z</dcterms:created>
  <dcterms:modified xsi:type="dcterms:W3CDTF">2012-07-16T07:57:00Z</dcterms:modified>
</cp:coreProperties>
</file>