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E0EBB">
        <w:rPr>
          <w:rFonts w:ascii="Arial" w:hAnsi="Arial" w:cs="Arial"/>
          <w:b/>
          <w:bCs/>
          <w:sz w:val="22"/>
          <w:szCs w:val="22"/>
        </w:rPr>
        <w:t>Definition of challenging behaviour</w:t>
      </w:r>
    </w:p>
    <w:p w:rsidR="005E0EBB" w:rsidRPr="005E0EBB" w:rsidRDefault="005E0EBB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Challenging behaviour is a descriptive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concept, which is largely socially constructed,</w:t>
      </w:r>
    </w:p>
    <w:p w:rsid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and its meaning is subject to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changes in social norms and service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delivery patterns over time and across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 xml:space="preserve">geographical </w:t>
      </w:r>
      <w:r w:rsidR="00F206F3" w:rsidRPr="005E0EBB">
        <w:rPr>
          <w:rFonts w:ascii="Arial" w:hAnsi="Arial" w:cs="Arial"/>
          <w:bCs/>
          <w:sz w:val="22"/>
          <w:szCs w:val="22"/>
        </w:rPr>
        <w:t>areas</w:t>
      </w:r>
      <w:r w:rsidR="00F206F3">
        <w:rPr>
          <w:rFonts w:ascii="Arial" w:hAnsi="Arial" w:cs="Arial"/>
          <w:bCs/>
          <w:sz w:val="22"/>
          <w:szCs w:val="22"/>
        </w:rPr>
        <w:t>.</w:t>
      </w:r>
      <w:r w:rsidR="00F206F3" w:rsidRPr="005E0EBB">
        <w:rPr>
          <w:rFonts w:ascii="Arial" w:hAnsi="Arial" w:cs="Arial"/>
          <w:bCs/>
          <w:sz w:val="22"/>
          <w:szCs w:val="22"/>
        </w:rPr>
        <w:t xml:space="preserve"> The</w:t>
      </w:r>
      <w:r w:rsidRPr="005E0EBB">
        <w:rPr>
          <w:rFonts w:ascii="Arial" w:hAnsi="Arial" w:cs="Arial"/>
          <w:bCs/>
          <w:sz w:val="22"/>
          <w:szCs w:val="22"/>
        </w:rPr>
        <w:t xml:space="preserve"> term </w:t>
      </w:r>
      <w:r w:rsidR="005E0EBB">
        <w:rPr>
          <w:rFonts w:ascii="Arial" w:hAnsi="Arial" w:cs="Arial"/>
          <w:bCs/>
          <w:sz w:val="22"/>
          <w:szCs w:val="22"/>
        </w:rPr>
        <w:t xml:space="preserve">itself carries no diagnostic </w:t>
      </w:r>
      <w:r w:rsidRPr="005E0EBB">
        <w:rPr>
          <w:rFonts w:ascii="Arial" w:hAnsi="Arial" w:cs="Arial"/>
          <w:bCs/>
          <w:sz w:val="22"/>
          <w:szCs w:val="22"/>
        </w:rPr>
        <w:t>significance,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and makes no inferences about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aetiology of the behaviour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It covers a heterogeneous group of behavioural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phenomena across different groups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of people; for example, oppositional behaviour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in children, faecal smearing in those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with a severe learning disability and deliberate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 xml:space="preserve">self-harm in adult mental </w:t>
      </w:r>
      <w:r w:rsidR="00F206F3" w:rsidRPr="005E0EBB">
        <w:rPr>
          <w:rFonts w:ascii="Arial" w:hAnsi="Arial" w:cs="Arial"/>
          <w:bCs/>
          <w:sz w:val="22"/>
          <w:szCs w:val="22"/>
        </w:rPr>
        <w:t>illness</w:t>
      </w:r>
      <w:r w:rsidR="00F206F3">
        <w:rPr>
          <w:rFonts w:ascii="Arial" w:hAnsi="Arial" w:cs="Arial"/>
          <w:bCs/>
          <w:sz w:val="22"/>
          <w:szCs w:val="22"/>
        </w:rPr>
        <w:t>.</w:t>
      </w:r>
      <w:r w:rsidR="00F206F3" w:rsidRPr="005E0EBB">
        <w:rPr>
          <w:rFonts w:ascii="Arial" w:hAnsi="Arial" w:cs="Arial"/>
          <w:bCs/>
          <w:sz w:val="22"/>
          <w:szCs w:val="22"/>
        </w:rPr>
        <w:t xml:space="preserve"> Challenging</w:t>
      </w:r>
      <w:r w:rsidRPr="005E0EBB">
        <w:rPr>
          <w:rFonts w:ascii="Arial" w:hAnsi="Arial" w:cs="Arial"/>
          <w:bCs/>
          <w:sz w:val="22"/>
          <w:szCs w:val="22"/>
        </w:rPr>
        <w:t xml:space="preserve"> behaviour may be unrelated to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psychiatric disorder</w:t>
      </w:r>
      <w:r w:rsidR="005E0EBB">
        <w:rPr>
          <w:rFonts w:ascii="Arial" w:hAnsi="Arial" w:cs="Arial"/>
          <w:bCs/>
          <w:sz w:val="22"/>
          <w:szCs w:val="22"/>
        </w:rPr>
        <w:t>.</w:t>
      </w:r>
    </w:p>
    <w:p w:rsidR="005E0EBB" w:rsidRDefault="005E0EBB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E0EBB">
        <w:rPr>
          <w:rFonts w:ascii="Arial" w:hAnsi="Arial" w:cs="Arial"/>
          <w:b/>
          <w:bCs/>
          <w:sz w:val="22"/>
          <w:szCs w:val="22"/>
        </w:rPr>
        <w:t>Service issues in the management of</w:t>
      </w:r>
      <w:r w:rsidR="005E0EBB" w:rsidRPr="005E0E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/>
          <w:bCs/>
          <w:sz w:val="22"/>
          <w:szCs w:val="22"/>
        </w:rPr>
        <w:t>challenging behaviour</w:t>
      </w:r>
    </w:p>
    <w:p w:rsidR="005E0EBB" w:rsidRPr="005E0EBB" w:rsidRDefault="005E0EBB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Management needs to be tailored to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individual person, taking into account the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particular behaviour and the setting in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which it occurs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Multi-agency, multi-disciplinary involvement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is necessary</w:t>
      </w:r>
      <w:r w:rsidRPr="005E0EBB">
        <w:rPr>
          <w:rFonts w:ascii="Arial" w:hAnsi="Arial" w:cs="Arial"/>
          <w:sz w:val="22"/>
          <w:szCs w:val="22"/>
        </w:rPr>
        <w:t xml:space="preserve">, </w:t>
      </w:r>
      <w:r w:rsidRPr="005E0EBB">
        <w:rPr>
          <w:rFonts w:ascii="Arial" w:hAnsi="Arial" w:cs="Arial"/>
          <w:bCs/>
          <w:sz w:val="22"/>
          <w:szCs w:val="22"/>
        </w:rPr>
        <w:t>and it is essential to gather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detailed information about the nature and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outcome of previous interventions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Different treatment modalities, i.e. pharmacotherapy,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psychological and social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interventions, alone or in combination,</w:t>
      </w:r>
    </w:p>
    <w:p w:rsidR="004E0C62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may be required. Only one treatment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should be introduced at a time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The safety of the person displaying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challenging behaviour and of others must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be considered carefully. A detailed risk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assessment should be conducted, and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degree of urgency of response decided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Treatment in a safe and secure environment,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if necessary within the framework of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Mental Health</w:t>
      </w:r>
      <w:r w:rsidR="005E0EBB">
        <w:rPr>
          <w:rFonts w:ascii="Arial" w:hAnsi="Arial" w:cs="Arial"/>
          <w:bCs/>
          <w:sz w:val="22"/>
          <w:szCs w:val="22"/>
        </w:rPr>
        <w:t xml:space="preserve"> Act in a specialised unit.</w:t>
      </w:r>
    </w:p>
    <w:p w:rsidR="005E0EBB" w:rsidRPr="005E0EBB" w:rsidRDefault="005E0EBB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E0C62" w:rsidRDefault="004E0C62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E0EBB">
        <w:rPr>
          <w:rFonts w:ascii="Arial" w:hAnsi="Arial" w:cs="Arial"/>
          <w:b/>
          <w:bCs/>
          <w:sz w:val="22"/>
          <w:szCs w:val="22"/>
        </w:rPr>
        <w:t>Steps towards systematic assessment</w:t>
      </w:r>
      <w:r w:rsidR="005E0EBB" w:rsidRPr="005E0E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/>
          <w:bCs/>
          <w:sz w:val="22"/>
          <w:szCs w:val="22"/>
        </w:rPr>
        <w:t>and treatment of challenging behaviour</w:t>
      </w:r>
    </w:p>
    <w:p w:rsidR="005E0EBB" w:rsidRPr="005E0EBB" w:rsidRDefault="005E0EBB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Identification of target behaviour(s)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Quantitative measurement of target behaviour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Generation of hypotheses (medical, psychological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and social) about the genesis and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maintenance of the behaviour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Delivery of therapeutic intervention designed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to test the hypotheses developed in line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with a sequential, single hypothesis-testing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model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Evaluation of effectiveness of the intervention</w:t>
      </w:r>
    </w:p>
    <w:p w:rsid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Generation and testing of alternative hypothesesay need to be considered</w:t>
      </w:r>
      <w:r w:rsidR="005E0EBB">
        <w:rPr>
          <w:rFonts w:ascii="Arial" w:hAnsi="Arial" w:cs="Arial"/>
          <w:bCs/>
          <w:sz w:val="22"/>
          <w:szCs w:val="22"/>
        </w:rPr>
        <w:t xml:space="preserve"> primary or secondary</w:t>
      </w:r>
    </w:p>
    <w:p w:rsidR="005E0EBB" w:rsidRDefault="005E0EBB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E0C62" w:rsidRDefault="004E0C62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E0EBB">
        <w:rPr>
          <w:rFonts w:ascii="Arial" w:hAnsi="Arial" w:cs="Arial"/>
          <w:b/>
          <w:bCs/>
          <w:sz w:val="22"/>
          <w:szCs w:val="22"/>
        </w:rPr>
        <w:t>Controversial issues in the management</w:t>
      </w:r>
      <w:r w:rsidR="005E0EBB" w:rsidRPr="005E0E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/>
          <w:bCs/>
          <w:sz w:val="22"/>
          <w:szCs w:val="22"/>
        </w:rPr>
        <w:t>of challenging behaviour</w:t>
      </w:r>
    </w:p>
    <w:p w:rsidR="005E0EBB" w:rsidRPr="005E0EBB" w:rsidRDefault="005E0EBB" w:rsidP="005E0E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Challenging behaviour is a socially constructed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concept, and as such represents an</w:t>
      </w:r>
    </w:p>
    <w:p w:rsidR="004E0C62" w:rsidRPr="005E0EBB" w:rsidRDefault="004E0C62" w:rsidP="005E0E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entity of questionable validity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There exists no consensus about the borders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between health and social care and what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constitutes a health or social issue in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relation to challenging behaviour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Interventions for challenging behaviour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(including physical restraint, seclusion/exclusion and programmes based on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principles of reinforcement) have the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potential to be misused as punishment or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a method of social control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The use of drug treatment for challenging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behaviour with no clearly understood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neurochemical basis, and with no evidence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of underlying mental illness, may be both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ethically and scientifically dubious</w:t>
      </w:r>
      <w:r w:rsidR="005E0EBB">
        <w:rPr>
          <w:rFonts w:ascii="Arial" w:hAnsi="Arial" w:cs="Arial"/>
          <w:bCs/>
          <w:sz w:val="22"/>
          <w:szCs w:val="22"/>
        </w:rPr>
        <w:t xml:space="preserve">. </w:t>
      </w:r>
      <w:r w:rsidRPr="005E0EBB">
        <w:rPr>
          <w:rFonts w:ascii="Arial" w:hAnsi="Arial" w:cs="Arial"/>
          <w:bCs/>
          <w:sz w:val="22"/>
          <w:szCs w:val="22"/>
        </w:rPr>
        <w:t>Use of the Mental Health Act for challenging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 xml:space="preserve">behaviour may be open to </w:t>
      </w:r>
      <w:r w:rsidR="00F206F3" w:rsidRPr="005E0EBB">
        <w:rPr>
          <w:rFonts w:ascii="Arial" w:hAnsi="Arial" w:cs="Arial"/>
          <w:bCs/>
          <w:sz w:val="22"/>
          <w:szCs w:val="22"/>
        </w:rPr>
        <w:t>abuse</w:t>
      </w:r>
      <w:r w:rsidR="00F206F3">
        <w:rPr>
          <w:rFonts w:ascii="Arial" w:hAnsi="Arial" w:cs="Arial"/>
          <w:bCs/>
          <w:sz w:val="22"/>
          <w:szCs w:val="22"/>
        </w:rPr>
        <w:t>.</w:t>
      </w:r>
      <w:r w:rsidR="00F206F3" w:rsidRPr="005E0EBB">
        <w:rPr>
          <w:rFonts w:ascii="Arial" w:hAnsi="Arial" w:cs="Arial"/>
          <w:bCs/>
          <w:sz w:val="22"/>
          <w:szCs w:val="22"/>
        </w:rPr>
        <w:t xml:space="preserve"> Controversy</w:t>
      </w:r>
      <w:r w:rsidRPr="005E0EBB">
        <w:rPr>
          <w:rFonts w:ascii="Arial" w:hAnsi="Arial" w:cs="Arial"/>
          <w:bCs/>
          <w:sz w:val="22"/>
          <w:szCs w:val="22"/>
        </w:rPr>
        <w:t xml:space="preserve"> about the most appropriate</w:t>
      </w:r>
      <w:r w:rsidR="005E0EBB">
        <w:rPr>
          <w:rFonts w:ascii="Arial" w:hAnsi="Arial" w:cs="Arial"/>
          <w:bCs/>
          <w:sz w:val="22"/>
          <w:szCs w:val="22"/>
        </w:rPr>
        <w:t xml:space="preserve"> </w:t>
      </w:r>
      <w:r w:rsidRPr="005E0EBB">
        <w:rPr>
          <w:rFonts w:ascii="Arial" w:hAnsi="Arial" w:cs="Arial"/>
          <w:bCs/>
          <w:sz w:val="22"/>
          <w:szCs w:val="22"/>
        </w:rPr>
        <w:t>clinical speciality may result in patients</w:t>
      </w:r>
    </w:p>
    <w:p w:rsidR="004E0C62" w:rsidRPr="005E0EBB" w:rsidRDefault="004E0C62" w:rsidP="005E0EBB">
      <w:pPr>
        <w:rPr>
          <w:rFonts w:ascii="Arial" w:hAnsi="Arial" w:cs="Arial"/>
          <w:sz w:val="22"/>
          <w:szCs w:val="22"/>
        </w:rPr>
      </w:pPr>
      <w:r w:rsidRPr="005E0EBB">
        <w:rPr>
          <w:rFonts w:ascii="Arial" w:hAnsi="Arial" w:cs="Arial"/>
          <w:bCs/>
          <w:sz w:val="22"/>
          <w:szCs w:val="22"/>
        </w:rPr>
        <w:t>‘falling between two stools’</w:t>
      </w:r>
      <w:r w:rsidR="005E0EBB">
        <w:rPr>
          <w:rFonts w:ascii="Arial" w:hAnsi="Arial" w:cs="Arial"/>
          <w:bCs/>
          <w:sz w:val="22"/>
          <w:szCs w:val="22"/>
        </w:rPr>
        <w:t>.</w:t>
      </w:r>
    </w:p>
    <w:sectPr w:rsidR="004E0C62" w:rsidRPr="005E0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C62"/>
    <w:rsid w:val="004E0C62"/>
    <w:rsid w:val="005E0EBB"/>
    <w:rsid w:val="00B523D8"/>
    <w:rsid w:val="00CC39F5"/>
    <w:rsid w:val="00F2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of challenging behaviour</vt:lpstr>
    </vt:vector>
  </TitlesOfParts>
  <Company>NHS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challenging behaviour</dc:title>
  <dc:subject/>
  <dc:creator>Tracey Redgate</dc:creator>
  <cp:keywords/>
  <dc:description/>
  <cp:lastModifiedBy>swwhith</cp:lastModifiedBy>
  <cp:revision>3</cp:revision>
  <dcterms:created xsi:type="dcterms:W3CDTF">2012-08-09T11:16:00Z</dcterms:created>
  <dcterms:modified xsi:type="dcterms:W3CDTF">2012-08-09T11:17:00Z</dcterms:modified>
</cp:coreProperties>
</file>